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bookmarkStart w:id="0" w:name="_GoBack"/>
      <w:bookmarkEnd w:id="0"/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>ΙΑΝΟΥΑΡΙΟΥ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ΙΑΝΟΥΑΡΙΟΣ 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ΙΑΝΟΥΑΡΙΟΣ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Φακ.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01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ΙΑΝΟΥΑΡΙΟΣ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2A63E5" w:rsidRPr="00653D29" w:rsidRDefault="005B18A4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>
        <w:rPr>
          <w:rFonts w:ascii="Calibri" w:hAnsi="Calibri" w:cs="Arial"/>
          <w:color w:val="auto"/>
          <w:spacing w:val="4"/>
          <w:u w:val="single"/>
          <w:lang w:val="el-GR"/>
        </w:rPr>
        <w:t>1</w:t>
      </w:r>
      <w:r w:rsidR="002A63E5" w:rsidRPr="00653D29">
        <w:rPr>
          <w:rFonts w:ascii="Calibri" w:hAnsi="Calibri" w:cs="Arial"/>
          <w:color w:val="auto"/>
          <w:spacing w:val="4"/>
          <w:u w:val="single"/>
          <w:lang w:val="el-GR"/>
        </w:rPr>
        <w:t>.  ΑΝΕΡΓΙΑ ΠΡΟΣΑΡΜΟΣΜΕΝΗ ΣΤΙΣ ΕΠΟΧΙΚΕΣ ΔΙΑΚΥΜΑΝΣΕΙΣ</w:t>
      </w:r>
      <w:r w:rsidR="002A63E5" w:rsidRPr="00653D29">
        <w:rPr>
          <w:rStyle w:val="FootnoteReference"/>
          <w:rFonts w:ascii="Calibri" w:hAnsi="Calibri" w:cs="Arial"/>
          <w:color w:val="auto"/>
          <w:spacing w:val="4"/>
          <w:u w:val="single"/>
          <w:lang w:val="el-GR"/>
        </w:rPr>
        <w:footnoteReference w:id="1"/>
      </w:r>
    </w:p>
    <w:p w:rsidR="002A63E5" w:rsidRPr="000F0FA5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b w:val="0"/>
          <w:bCs w:val="0"/>
          <w:color w:val="auto"/>
          <w:spacing w:val="4"/>
          <w:lang w:val="el-GR"/>
        </w:rPr>
      </w:pPr>
      <w:r w:rsidRPr="00653D29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485E01" w:rsidRPr="00485E01" w:rsidRDefault="00485E01" w:rsidP="00485E01">
      <w:pPr>
        <w:spacing w:after="240" w:line="276" w:lineRule="auto"/>
        <w:jc w:val="both"/>
        <w:rPr>
          <w:rFonts w:ascii="Calibri" w:hAnsi="Calibri"/>
          <w:b w:val="0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Eurostat, τα οποία είναι προκαταρκτικά και αποτελούν εκτίμηση, κατά το μήνα Δεκέμβριο του 2021  η ανεργία στην Κύπρο ανήλθε στο 6,4% παρουσιάζοντας μείωση κατά 1,6 ποσοστιαίες μονάδες σε σχέση με τον ίδιο μήνα πέρσι (8,0%). Σε σύγκριση με τον προηγούμενο μήνα, Νοέμβριο του 2021, το ποσοστό ανεργίας παρέμεινε το ίδιο. Η ανεργία των νέων 15-24 ετών έφτασε στο 15,1% τον Δεκέμβριο του 2021 παρουσιάζοντας μείωση κατά 4,8 ποσοστιαία μονάδα σε σχέση με τον Δεκέμβριο του 2020 (19,9%).  </w:t>
      </w:r>
    </w:p>
    <w:p w:rsidR="00485E01" w:rsidRPr="00485E01" w:rsidRDefault="00485E01" w:rsidP="00485E01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sz w:val="22"/>
          <w:szCs w:val="22"/>
          <w:lang w:val="el-GR"/>
        </w:rPr>
        <w:t xml:space="preserve">Το επίπεδο ανεργίας στην Ευρωζώνη (ΕΑ 19) έφτασε στο 7,0% τον Δεκέμβριο του 2021 από 7,1% που ήταν τον Νοέμβριο του 2021 και 8,2% τον Δεκέμβριο του 2020. Ο μέσος όρος ανεργίας στην Ευρώπη έφτασε στο 6,4% τον Δεκέμβριο του 2021 από 7,5% που ήταν τον ίδιο μήνα πέρσι. </w:t>
      </w:r>
    </w:p>
    <w:p w:rsidR="000F0FA5" w:rsidRPr="00485E01" w:rsidRDefault="000F0FA5" w:rsidP="00485E01">
      <w:pPr>
        <w:spacing w:line="276" w:lineRule="auto"/>
        <w:jc w:val="both"/>
        <w:rPr>
          <w:rFonts w:ascii="Calibri" w:eastAsia="Calibri" w:hAnsi="Calibri" w:cs="Arial"/>
          <w:b w:val="0"/>
          <w:sz w:val="22"/>
          <w:szCs w:val="22"/>
          <w:lang w:val="el-GR"/>
        </w:rPr>
      </w:pPr>
    </w:p>
    <w:p w:rsidR="002A63E5" w:rsidRPr="002A63E5" w:rsidRDefault="002A63E5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</w:p>
    <w:p w:rsidR="002A63E5" w:rsidRPr="00871CEF" w:rsidRDefault="005B18A4" w:rsidP="002A63E5">
      <w:pPr>
        <w:jc w:val="both"/>
        <w:rPr>
          <w:rFonts w:ascii="Calibri" w:hAnsi="Calibri" w:cs="Arial"/>
          <w:spacing w:val="4"/>
          <w:u w:val="single"/>
          <w:lang w:val="el-GR"/>
        </w:rPr>
      </w:pPr>
      <w:r>
        <w:rPr>
          <w:rFonts w:ascii="Calibri" w:hAnsi="Calibri" w:cs="Arial"/>
          <w:spacing w:val="4"/>
          <w:u w:val="single"/>
          <w:lang w:val="el-GR"/>
        </w:rPr>
        <w:t>2</w:t>
      </w:r>
      <w:r w:rsidR="002A63E5" w:rsidRPr="00871CEF">
        <w:rPr>
          <w:rFonts w:ascii="Calibri" w:hAnsi="Calibri" w:cs="Arial"/>
          <w:spacing w:val="4"/>
          <w:u w:val="single"/>
          <w:lang w:val="el-GR"/>
        </w:rPr>
        <w:t>. ΕΡΕΥΝΑ ΕΡΓΑΤΙΚΟΥ ΔΥΝΑΜΙΚΟΥ</w:t>
      </w:r>
      <w:r w:rsidR="002A63E5" w:rsidRPr="00871CEF">
        <w:rPr>
          <w:rStyle w:val="FootnoteReference"/>
          <w:rFonts w:ascii="Calibri" w:hAnsi="Calibri" w:cs="Arial"/>
          <w:spacing w:val="4"/>
          <w:u w:val="single"/>
          <w:lang w:val="el-GR"/>
        </w:rPr>
        <w:footnoteReference w:id="2"/>
      </w:r>
    </w:p>
    <w:p w:rsidR="002A63E5" w:rsidRPr="00871CEF" w:rsidRDefault="002A63E5" w:rsidP="002A63E5">
      <w:pPr>
        <w:pStyle w:val="ListParagraph"/>
        <w:spacing w:after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  <w:r w:rsidRPr="00871CEF">
        <w:rPr>
          <w:rFonts w:ascii="Calibri" w:hAnsi="Calibri" w:cs="Arial"/>
          <w:color w:val="auto"/>
          <w:spacing w:val="4"/>
          <w:u w:val="single"/>
          <w:lang w:val="el-GR"/>
        </w:rPr>
        <w:t xml:space="preserve">(Πηγή: Στατιστική Υπηρεσία) </w:t>
      </w:r>
    </w:p>
    <w:p w:rsidR="00485E01" w:rsidRPr="00485E01" w:rsidRDefault="00485E01" w:rsidP="00485E01">
      <w:pPr>
        <w:spacing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τρίτο τρίμηνο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6,6%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(31.355 άτομα) παρουσιάζοντας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1,6 ποσοστιαία μονάδα (ή 5,879 άτομα) σε σχέση με το τρίτο τρίμηνο του 2020 που ήταν 8,2% (37.234 άτομα). </w:t>
      </w:r>
      <w:bookmarkStart w:id="1" w:name="_Hlk81401103"/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2021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7,9% (μέσος όρος αριθμού ανέργων: 36.516) από 7,4% που ήταν το πρώτο εννεάμηνο του 2020 (με μέσο όρο αριθμού ανέργων: 33.496). Όσον αφορά  τον μέσο όρο του ποσοστού ανεργίας για </w:t>
      </w:r>
      <w:bookmarkEnd w:id="1"/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ολόκληρο το 2020 αυτός διαμορφώθηκε στο 7,6% (34.291 άτομα) του εργατικού δυναμικού, παρουσιάζοντας αύξηση 0,5 ποσοστιαία μονάδα (ή 2.588 άτομα) σε σχέση με το 2019 (7,1% ή 31.703 άτομα). </w:t>
      </w:r>
    </w:p>
    <w:p w:rsidR="00485E01" w:rsidRPr="00485E01" w:rsidRDefault="00485E01" w:rsidP="00485E01">
      <w:pPr>
        <w:spacing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>Σε σχέση με τα προηγούμενα χρόνια ο μέσος όρος ανεργίας κατά το 2018 ήταν 8,4%, το 2017 ήταν 11,1%, το 2016 ήταν 12,9%, το 2015 ήταν 14,9%, το 2014 ήταν 16,1%, και το 2013 ήταν 15,9%.</w:t>
      </w:r>
    </w:p>
    <w:p w:rsidR="00485E01" w:rsidRDefault="00485E01" w:rsidP="00485E01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485E01" w:rsidRPr="00485E01" w:rsidRDefault="00485E01" w:rsidP="00485E01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14,5%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(5.711 άτομα) το τρίτο τρίμηνο του 2021, παρουσιάζοντας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μείωση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κατά 5,9 ποσοστιαίες μονάδες σε σχέση με το τρίτο τρίμηνο του 2020 που ήταν 20,4%, (7.123 άτομα). Η μείωση αυτή οφειλόταν στη σημαντική αύξηση που σημείωσε η απασχόληση των νέων κατά 5.925 άτομα ή 21%. Ο μέσος όρος του ποσοστού ανεργίας των νέων 15-24 ετών για 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πρώτο εννεάμηνο του 2021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17,0% (μέσος όρος αριθμού ανέργων νέων: 6.625) από 17,6% που ήταν το πρώτο εννεάμηνο του 2020 (με μέσο όρο αριθμού ανέργων νέων: 6.016). </w:t>
      </w:r>
    </w:p>
    <w:p w:rsidR="00485E01" w:rsidRPr="00485E01" w:rsidRDefault="00485E01" w:rsidP="00485E01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Όσον αφορά  τον μέσο όρο του ποσοστού ανεργίας των νέων 15-24 χρονών για ολόκληρο το 2020 αυτός διαμορφώθηκε στο 18,2% του εργατικού δυναμικού (6.405 άτομα) παρουσιάζοντας αύξηση 1,6 ποσοστιαίες μονάδες (ή 393 ατόμων) σε σχέση με το 2019 (16,6% ή 6.012 άτομα). </w:t>
      </w:r>
    </w:p>
    <w:p w:rsidR="00485E01" w:rsidRDefault="00485E01" w:rsidP="00485E01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485E01" w:rsidRPr="00485E01" w:rsidRDefault="00485E01" w:rsidP="00485E01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2018 διαμορφώθηκε στο 20,2%, το 2017 στο 24,7%, το 2016 στο 29,1%, το 2015 στο 32,8%, το 2014 στο 36,0%  και το 2013 στο 38,9%.</w:t>
      </w:r>
    </w:p>
    <w:p w:rsidR="00485E01" w:rsidRDefault="00485E01" w:rsidP="00485E01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</w:p>
    <w:p w:rsidR="00485E01" w:rsidRPr="00485E01" w:rsidRDefault="00485E01" w:rsidP="00485E01">
      <w:pPr>
        <w:spacing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τρίτο τρίμηνο του 2021 αυξήθηκε κατά 26,039 άτομα (6,3%) σε σύγκριση με το ίδιο τρίμηνο του 2020, φτάνοντας στα 440.959 άτομα, από 414.920 άτομα που ήταν το 2020,  το δε 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2,7 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77,2% 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τρίτο τρίμηνο του 2021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απασχόλησης των ατόμων  ηλικίας 20-64 χρόνων κατά τους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πρώτους εννέα μήνες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του 2021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485E01">
        <w:rPr>
          <w:rFonts w:ascii="Calibri" w:hAnsi="Calibri"/>
          <w:bCs w:val="0"/>
          <w:color w:val="auto"/>
          <w:sz w:val="22"/>
          <w:szCs w:val="22"/>
          <w:lang w:val="el-GR"/>
        </w:rPr>
        <w:t>75,3%</w:t>
      </w:r>
      <w:r w:rsidRPr="00485E01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Ο ετήσιος μέσος όρος του ποσοστού απασχόλησης των ατόμων 20-64 χρόνων κατά το 2020 διαμορφώθηκε στο 74,9% παρουσιάζοντας μείωση από το επίπεδο του 2019 που ήταν 75,7%. Κατά το 2018  το ποσοστό απασχόλησης ήταν  73,9%, το 2017 ήταν 70,8% και το 2016, 68,7%.</w:t>
      </w:r>
    </w:p>
    <w:p w:rsidR="00EA1C88" w:rsidRDefault="00EA1C88" w:rsidP="00485E01">
      <w:pPr>
        <w:spacing w:line="276" w:lineRule="auto"/>
        <w:jc w:val="both"/>
        <w:rPr>
          <w:rFonts w:ascii="Calibri" w:hAnsi="Calibri" w:cs="Arial"/>
          <w:u w:val="single"/>
          <w:lang w:val="el-GR"/>
        </w:rPr>
      </w:pPr>
    </w:p>
    <w:p w:rsidR="00485E01" w:rsidRPr="00485E01" w:rsidRDefault="00485E01" w:rsidP="00485E01">
      <w:pPr>
        <w:spacing w:line="276" w:lineRule="auto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485E01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485E01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485E01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485E01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485E01" w:rsidRPr="00485E01" w:rsidRDefault="00485E01" w:rsidP="00485E01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485E01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485E01" w:rsidRPr="00485E01" w:rsidRDefault="00485E01" w:rsidP="0048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485E01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485E01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485E01" w:rsidRPr="00485E01" w:rsidRDefault="00485E01" w:rsidP="00485E01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485E01" w:rsidRPr="00485E01" w:rsidRDefault="00485E01" w:rsidP="00485E01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485E01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485E01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ΙΑΝΟΥΑΡΙΟΥ 2022 και 2021 :</w:t>
      </w:r>
    </w:p>
    <w:p w:rsidR="00485E01" w:rsidRPr="00485E01" w:rsidRDefault="00485E01" w:rsidP="00485E01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485E01" w:rsidRPr="00485E01" w:rsidRDefault="00485E01" w:rsidP="00485E01">
      <w:pPr>
        <w:numPr>
          <w:ilvl w:val="0"/>
          <w:numId w:val="4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lastRenderedPageBreak/>
        <w:t xml:space="preserve">Μείωση του αριθμού 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15.430 άτομα από 32.333 που ήταν τον αντίστοιχο μήνα του 2021 (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52,3% ή 16.903 άτομα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485E01" w:rsidRPr="00485E01" w:rsidRDefault="00485E01" w:rsidP="00485E01">
      <w:pPr>
        <w:spacing w:line="276" w:lineRule="auto"/>
        <w:ind w:left="720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7.084 άτομα, ενώ ο αριθμός των ανέργων γυναικών ανήλθε στα 8.346 άτομα. Σε σχέση με τον ίδιο μήνα πέρσι, ο αριθμός των ανέργων αντρών μειώθηκε κατά 7.120 άτομα ή 50% ενώ των γυναικών μειώθηκε κατά 9.783 άτομα ή 54%. </w:t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485E01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485E01" w:rsidRPr="00485E01" w:rsidRDefault="00485E01" w:rsidP="00485E01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95925" cy="3324225"/>
            <wp:effectExtent l="0" t="0" r="0" b="0"/>
            <wp:docPr id="16" name="Char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5E01" w:rsidRPr="00485E01" w:rsidRDefault="00485E01" w:rsidP="00485E01">
      <w:pPr>
        <w:spacing w:after="200" w:line="276" w:lineRule="auto"/>
        <w:ind w:left="567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ind w:left="567" w:hanging="283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485E01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Λευκωσίας (κατά 5.329 άτομα ή 59%), ακολουθεί η επαρχία Λεμεσού (κατά 4.411 άτομα ή 56%), η επαρχία Λάρνακας (κατά 3.353 άτομα ή 58%), η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Πάφου (κατά 2.335 άτομα ή 49%) και η επαρχία Αμμοχώστου (κατά 1.475 άτομα ή 31%).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(3.764 άτομα ή 24%), ακολουθεί η επαρχία Λεμεσού (3.521 ή 23%), Αμμοχώστου (3.211 άτομα ή 21%), Πάφου (2.473 ή 16%) και Λάρνακας (2.461 ή 16%). Στο διάγραμμα που ακολουθεί παρουσιάζεται η διακύμανση του αριθμού των ανέργων κατά επαρχία τους τελευταίους 13 μήνες.</w:t>
      </w:r>
    </w:p>
    <w:p w:rsidR="00485E01" w:rsidRPr="00485E01" w:rsidRDefault="00485E01" w:rsidP="00485E01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95925" cy="3362325"/>
            <wp:effectExtent l="0" t="0" r="0" b="0"/>
            <wp:docPr id="15" name="Char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485E01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485E01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485E01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485E01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485E01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 στον τομέα του Εμπορίου (κατά 3.671 άτομα ή 61%), στον τομέα των Άλλων Υπηρεσιών (κατά 3.098 άτομα ή 55%), στον τομέα των Ξενοδοχείων (κατά 2.897 άτομα ή 39%). στον τομέα των νεοεισερχομένων (κατά 1.487 άτομα ή 64%) και στον τομέα της μεταποίησης (κατά 1.165 άτομα ή 57%). 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των Ξενοδοχείων (4.599 άτομα ή 30%),  στον τομέα των Άλλων Υπηρεσιών (2.547 άτομα ή 17%) και στον τομέα του Εμπορίου (2.364 άτομα ή 15%). Στο διάγραμμα που ακολουθεί παρουσιάζεται η διακύμανση του αριθμού των ανέργων σε επιλεγμένους τομείς οικονομικής δραστηριότητας τους τελευταίους 12 μήνες.</w:t>
      </w:r>
    </w:p>
    <w:p w:rsidR="00485E01" w:rsidRPr="00485E01" w:rsidRDefault="00485E01" w:rsidP="00485E01">
      <w:pPr>
        <w:spacing w:after="200" w:line="276" w:lineRule="auto"/>
        <w:jc w:val="both"/>
        <w:rPr>
          <w:rFonts w:eastAsia="Calibri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553075" cy="3152775"/>
            <wp:effectExtent l="0" t="0" r="9525" b="9525"/>
            <wp:docPr id="14" name="Char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85E01" w:rsidRPr="00485E01" w:rsidRDefault="00485E01" w:rsidP="00485E01">
      <w:p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lastRenderedPageBreak/>
        <w:t xml:space="preserve">Οι μεγαλύτερες αριθμητικές </w:t>
      </w:r>
      <w:r w:rsidRPr="00485E01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485E01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485E01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485E01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4.529 άτομα ή 49%),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των ανειδίκευτων  εργατών, χειρωνακτών και μικροεπαγγελματιών (κατά 3.454 άτομα ή 52%), στους υπαλλήλους γραφείου (κατά 2.713 άτομα ή 51%), στους προσοντούχους/ ειδικούς (κατά 1.736 άτομα ή 58%) και </w:t>
      </w:r>
      <w:r w:rsidRPr="00485E01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στους νεοεισερχομένους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(κατά 1.487 άτομα ή 64%). Η μεγαλύτερη συγκέντρωση ανέργων έχει καταγραφεί στην επαγγελματική κατηγορία </w:t>
      </w:r>
      <w:r w:rsidRPr="00485E01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(4.683 άτομα ή 30% του συνόλου), στους ανειδίκευτους εργάτες, χειρωνάκτες και μικροεπαγγελματίες (κατά 3.136 άτομα ή 20%), στους υπαλλήλους γραφείου (2.576</w:t>
      </w:r>
      <w:r w:rsidRPr="00485E01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άτομα ή 17%) και  στους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προσοντούχους /ειδικούς</w:t>
      </w:r>
      <w:r w:rsidRPr="00485E01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(1.282 άτομα ή 8%).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485E01" w:rsidRPr="00485E01" w:rsidRDefault="00485E01" w:rsidP="00485E01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>
            <wp:extent cx="5495925" cy="3514725"/>
            <wp:effectExtent l="0" t="0" r="0" b="0"/>
            <wp:docPr id="13" name="Char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30-39 ετών (κατά 4.578 άτομα ή 52%), στις ηλικίες 40-49 χρονών (κατά 3.283 άτομα ή 49%) και 50-59 χρονών (κατά 3.181 άτομα ή 48%)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485E01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(4.201 άτομα ή 27%), στην ηλικιακή ομάδα 40-49 ετών (3.470 άτομα ή 22%) και στην ηλικιακή ομάδα 50-59 ετών (3.386 άτομα ή 22%).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485E01">
        <w:rPr>
          <w:rFonts w:eastAsia="Calibri"/>
          <w:noProof/>
          <w:color w:val="auto"/>
          <w:lang w:val="el-GR"/>
        </w:rPr>
        <w:t xml:space="preserve"> </w:t>
      </w:r>
    </w:p>
    <w:p w:rsidR="00485E01" w:rsidRPr="00485E01" w:rsidRDefault="00485E01" w:rsidP="00485E01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95925" cy="3448050"/>
            <wp:effectExtent l="0" t="0" r="0" b="0"/>
            <wp:docPr id="12" name="Char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  <w:r w:rsidRPr="00485E01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έφτασε τα 2.001 άτομα παρουσιάζοντας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10.342 άτομα ή 84% σε σχέση με τον ίδιο μήνα πέρσι και αντιπροσωπεύει το 13% του συνόλου των εγγεγραμμένων ανέργων. Ο αριθμός των εγγεγραμμένων ανέργων που είχαν διάρκεια ανεργίας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πάνω από 6 μήνες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έφτασε στα 3.253 άτομα (μείωση κατά 16.552 άτομα ή 84% σε σχέση με τον ίδιο μήνα πέρσι) και αντιπροσωπεύει το 21% του συνόλου των εγγεγραμμένων ανέργων. Μείωση κατά 6.210 άτομα ή 83% παρουσιάστηκε επίσης και στους ανέργους με διάρκεια ανεργίας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από 6 μήνες μέχρι 12 μήνες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οι οποίοι έφτασαν τα 1.252 άτομα και αντιπροσωπεύουν το 8% του συνόλου των εγγεγραμμένων ανέργων. Μείωση παρατηρήθηκε επίσης στον αριθμό των ανέργων με διάρκεια ανεργίας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από 3-6 μήνες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2.099 άτομα ή 45%) ενώ ο αριθμός των ανέργων με διάρκεια ανεργίας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485E01">
        <w:rPr>
          <w:rFonts w:ascii="Calibri" w:eastAsia="Calibri" w:hAnsi="Calibri" w:cs="Arial"/>
          <w:color w:val="auto"/>
          <w:sz w:val="22"/>
          <w:szCs w:val="22"/>
          <w:lang w:val="el-GR"/>
        </w:rPr>
        <w:t>αυξήθηκε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1.748 άτομα ή 22%.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485E01" w:rsidRPr="00485E01" w:rsidRDefault="00485E01" w:rsidP="00485E01">
      <w:pPr>
        <w:spacing w:line="276" w:lineRule="auto"/>
        <w:ind w:left="426"/>
        <w:jc w:val="both"/>
        <w:rPr>
          <w:rFonts w:eastAsia="Calibri"/>
          <w:b w:val="0"/>
          <w:color w:val="auto"/>
          <w:lang w:val="el-GR"/>
        </w:rPr>
      </w:pPr>
    </w:p>
    <w:p w:rsidR="00485E01" w:rsidRPr="00485E01" w:rsidRDefault="00485E01" w:rsidP="00485E01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>
            <wp:extent cx="5495925" cy="3409950"/>
            <wp:effectExtent l="0" t="0" r="0" b="0"/>
            <wp:docPr id="11" name="Char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5E01" w:rsidRPr="00485E01" w:rsidRDefault="00485E01" w:rsidP="00485E01">
      <w:pPr>
        <w:spacing w:line="276" w:lineRule="auto"/>
        <w:ind w:left="426"/>
        <w:jc w:val="both"/>
        <w:rPr>
          <w:rFonts w:eastAsia="Calibri"/>
          <w:b w:val="0"/>
          <w:color w:val="auto"/>
          <w:sz w:val="8"/>
          <w:szCs w:val="8"/>
          <w:lang w:val="el-GR"/>
        </w:rPr>
      </w:pPr>
    </w:p>
    <w:p w:rsidR="00485E01" w:rsidRPr="00485E01" w:rsidRDefault="00485E01" w:rsidP="00485E01">
      <w:pPr>
        <w:spacing w:line="276" w:lineRule="auto"/>
        <w:ind w:left="567" w:hanging="141"/>
        <w:jc w:val="both"/>
        <w:rPr>
          <w:rFonts w:eastAsia="Calibri"/>
          <w:b w:val="0"/>
          <w:color w:val="auto"/>
        </w:rPr>
      </w:pP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9.712 άτομα (63%), ενώ ο αντίστοιχος αριθμός τον ίδιο μήνα πέρσι ήταν 21.184 άτομα (66%). Από το σύνολο των ανέργων οι 3.496 (23%) ήταν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6.853 άτομα (21% του συνόλου των ανέργων). Σημειώνεται ότι η μεγαλύτερη αριθμητική μείωση σε σύγκριση με τον ίδιο μήνα πέρσι σημειώθηκε ανάμεσα στους Ελληνοκύπριους (μείωση κατά 11.472 άτομα ή 54%), ενώ ο αριθμός των ανέργων Ευρωπαίων πολιτών μειώθηκε κατά 3.357 άτομα ή 49%. Σχετικό το πιο κάτω διάγραμμα.</w:t>
      </w:r>
    </w:p>
    <w:p w:rsidR="00485E01" w:rsidRPr="00485E01" w:rsidRDefault="00485E01" w:rsidP="00485E01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495925" cy="3114675"/>
            <wp:effectExtent l="0" t="0" r="0" b="0"/>
            <wp:docPr id="10" name="Char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5E01" w:rsidRPr="00485E01" w:rsidRDefault="00485E01" w:rsidP="00485E01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z w:val="16"/>
          <w:szCs w:val="16"/>
          <w:lang w:val="el-GR"/>
        </w:rPr>
      </w:pP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>Από τους εγγεγραμμένους άνεργους, 7.122</w:t>
      </w:r>
      <w:r w:rsidRPr="00485E01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(46%) είναι </w:t>
      </w:r>
      <w:r w:rsidRP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4.347 άτομα (28%) είναι απόφοιτοι τριτοβάθμιας εκπαίδευσης,  3.825 άτομα (25%) είναι απόφοιτοι πρωτοβάθμιας εκπαίδευσης και τέλος 136 άτομα (1%)  είναι άτομα χωρίς μόρφωση. Σημειώνεται ότι ο αριθμός των αποφοίτων δευτεροβάθμιας γενικής ή τεχνικής εκπαίδευσης </w:t>
      </w:r>
      <w:r w:rsidRP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7.488 άτομα (ή 51%) σε σύγκριση με τον ίδιο μήνα πέρσι, ο αριθμός των αποφοίτων τριτοβάθμιας εκπαίδευσης </w:t>
      </w:r>
      <w:r w:rsidRP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5.677 άτομα (ή 57%) και της πρωτοβάθμιας εκπαίδευσης κατά 3.641 άτομα (ή 49%).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485E01" w:rsidRPr="00485E01" w:rsidRDefault="00485E01" w:rsidP="00485E01">
      <w:pPr>
        <w:spacing w:line="276" w:lineRule="auto"/>
        <w:ind w:left="72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485E01" w:rsidRPr="00485E01" w:rsidRDefault="00485E01" w:rsidP="00485E01">
      <w:pPr>
        <w:tabs>
          <w:tab w:val="left" w:pos="3400"/>
        </w:tabs>
        <w:spacing w:after="200" w:line="276" w:lineRule="auto"/>
        <w:rPr>
          <w:rFonts w:ascii="Calibri" w:eastAsia="Calibri" w:hAnsi="Calibri" w:cs="Arial"/>
          <w:i/>
          <w:iCs/>
          <w:color w:val="auto"/>
          <w:sz w:val="22"/>
          <w:szCs w:val="22"/>
        </w:rPr>
      </w:pPr>
      <w:r>
        <w:rPr>
          <w:rFonts w:eastAsia="Calibri"/>
          <w:noProof/>
        </w:rPr>
        <w:drawing>
          <wp:inline distT="0" distB="0" distL="0" distR="0">
            <wp:extent cx="5495925" cy="3514725"/>
            <wp:effectExtent l="0" t="0" r="0" b="0"/>
            <wp:docPr id="9" name="Char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B5720" w:rsidRPr="00AB5720" w:rsidRDefault="00AB5720" w:rsidP="00485E01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sz w:val="16"/>
          <w:szCs w:val="16"/>
          <w:u w:val="single"/>
          <w:lang w:val="el-GR"/>
        </w:rPr>
      </w:pPr>
    </w:p>
    <w:p w:rsidR="00485E01" w:rsidRPr="00485E01" w:rsidRDefault="00485E01" w:rsidP="00485E01">
      <w:pPr>
        <w:tabs>
          <w:tab w:val="left" w:pos="3400"/>
        </w:tabs>
        <w:spacing w:after="200" w:line="276" w:lineRule="auto"/>
        <w:ind w:left="426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485E01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Β. ΜΗΝΙΑΙΑ ΣΥΓΚΡΙΣΗ ΜΕΤΑΞΥ ΙΑΝΟΥΑΡΙΟΥ 2022 ΚΑΙ </w:t>
      </w:r>
      <w:r w:rsidRPr="00485E01">
        <w:rPr>
          <w:rFonts w:ascii="Calibri" w:eastAsia="Calibri" w:hAnsi="Calibri" w:cs="Arial"/>
          <w:iCs/>
          <w:caps/>
          <w:color w:val="auto"/>
          <w:u w:val="single"/>
          <w:lang w:val="el-GR"/>
        </w:rPr>
        <w:t>ΔΕΚΕΜΒΡΙΟΥ</w:t>
      </w:r>
      <w:r w:rsidRPr="00485E01">
        <w:rPr>
          <w:rFonts w:ascii="Calibri" w:eastAsia="Calibri" w:hAnsi="Calibri" w:cs="Arial"/>
          <w:iCs/>
          <w:color w:val="auto"/>
          <w:u w:val="single"/>
          <w:lang w:val="el-GR"/>
        </w:rPr>
        <w:t xml:space="preserve"> 2021 :</w:t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Ιανουάριο 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485E01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630 άτομα ή 4% σε σύγκριση με τον προηγού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371 άτομα και ο αριθμός των γυναικών κατά 259 άτομα. </w:t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 παρουσιάστηκε στην ηλικιακή ομάδα 50-59 χρονών κατά 196 άτομα.</w:t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Ελληνοκύπριους κατά 361 άτομα. </w:t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lastRenderedPageBreak/>
        <w:t xml:space="preserve">Κατά διάρκεια ανεργίας, η μεγαλύτερη αύξηση παρουσιάστηκε στους ανέργους με διάρκεια ανεργίας 3 μέχρι 6 μήνες (κατά 800 άτομα), ενώ η μεγαλύτερη μείωση παρουσιάστηκε στους άνεργους με διάρκεια ανεργίας 15 ημέρες μέχρι 3 μήνες. </w:t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η  μεγαλύτερη αύξηση  παρατηρήθηκε στον τομέα των ξενοδοχείων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163 άτομα.</w:t>
      </w:r>
    </w:p>
    <w:p w:rsidR="00485E01" w:rsidRPr="00485E01" w:rsidRDefault="00485E01" w:rsidP="00485E01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η μεγαλύτερη αύξηση καταγράφηκε </w:t>
      </w:r>
      <w:r w:rsidRPr="00485E01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</w:t>
      </w:r>
      <w:r w:rsidRPr="00485E01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Πάφου κατά 223 άτομα.</w:t>
      </w:r>
    </w:p>
    <w:p w:rsidR="00485E01" w:rsidRPr="00485E01" w:rsidRDefault="00485E01" w:rsidP="00485E01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485E01" w:rsidRPr="00485E01" w:rsidRDefault="00485E01" w:rsidP="00485E01">
      <w:pPr>
        <w:rPr>
          <w:rFonts w:ascii="Calibri" w:hAnsi="Calibri" w:cs="Arial"/>
          <w:bCs w:val="0"/>
          <w:iCs/>
          <w:color w:val="FF0000"/>
          <w:u w:val="single"/>
          <w:lang w:val="el-GR"/>
        </w:rPr>
      </w:pPr>
    </w:p>
    <w:p w:rsidR="00485E01" w:rsidRPr="00485E01" w:rsidRDefault="00485E01" w:rsidP="00485E01">
      <w:pPr>
        <w:ind w:left="284"/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485E01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485E01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485E01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485E01" w:rsidRPr="00485E01" w:rsidRDefault="00485E01" w:rsidP="00485E01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485E01" w:rsidRPr="00485E01" w:rsidRDefault="00485E01" w:rsidP="00485E01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485E01" w:rsidRPr="00485E01" w:rsidRDefault="00485E01" w:rsidP="00485E01">
      <w:pPr>
        <w:ind w:left="284"/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485E01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485E01" w:rsidRPr="00485E01" w:rsidRDefault="00485E01" w:rsidP="00485E01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485E01" w:rsidRPr="00485E01" w:rsidRDefault="00485E01" w:rsidP="00485E01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7941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76"/>
        <w:gridCol w:w="1253"/>
        <w:gridCol w:w="1281"/>
        <w:gridCol w:w="1150"/>
        <w:gridCol w:w="1260"/>
        <w:gridCol w:w="1321"/>
      </w:tblGrid>
      <w:tr w:rsidR="00485E01" w:rsidRPr="00485E01" w:rsidTr="00CD495F">
        <w:trPr>
          <w:trHeight w:val="98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E01" w:rsidRPr="00485E01" w:rsidRDefault="00485E01" w:rsidP="00485E01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3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Σεπτέμβριος</w:t>
            </w:r>
          </w:p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81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Οκτώβριος 2021</w:t>
            </w:r>
          </w:p>
        </w:tc>
        <w:tc>
          <w:tcPr>
            <w:tcW w:w="1150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Νοέμβριος</w:t>
            </w:r>
          </w:p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260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Δεκέμβριος</w:t>
            </w:r>
          </w:p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2021</w:t>
            </w:r>
          </w:p>
        </w:tc>
        <w:tc>
          <w:tcPr>
            <w:tcW w:w="1321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</w:t>
            </w:r>
          </w:p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485E01" w:rsidRPr="00485E01" w:rsidTr="00CD495F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E01" w:rsidRPr="00485E01" w:rsidRDefault="00485E01" w:rsidP="00485E01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253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1250</w:t>
            </w:r>
          </w:p>
        </w:tc>
        <w:tc>
          <w:tcPr>
            <w:tcW w:w="1281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1401</w:t>
            </w:r>
          </w:p>
        </w:tc>
        <w:tc>
          <w:tcPr>
            <w:tcW w:w="1150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1068</w:t>
            </w:r>
          </w:p>
        </w:tc>
        <w:tc>
          <w:tcPr>
            <w:tcW w:w="1260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767</w:t>
            </w:r>
          </w:p>
        </w:tc>
        <w:tc>
          <w:tcPr>
            <w:tcW w:w="1321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1837</w:t>
            </w:r>
          </w:p>
        </w:tc>
      </w:tr>
      <w:tr w:rsidR="00485E01" w:rsidRPr="00485E01" w:rsidTr="00CD495F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E01" w:rsidRPr="00485E01" w:rsidRDefault="00485E01" w:rsidP="00485E01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253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562</w:t>
            </w:r>
          </w:p>
        </w:tc>
        <w:tc>
          <w:tcPr>
            <w:tcW w:w="1281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724</w:t>
            </w:r>
          </w:p>
        </w:tc>
        <w:tc>
          <w:tcPr>
            <w:tcW w:w="1150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985</w:t>
            </w:r>
          </w:p>
        </w:tc>
        <w:tc>
          <w:tcPr>
            <w:tcW w:w="1260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555</w:t>
            </w:r>
          </w:p>
        </w:tc>
        <w:tc>
          <w:tcPr>
            <w:tcW w:w="1321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747</w:t>
            </w:r>
          </w:p>
        </w:tc>
      </w:tr>
      <w:tr w:rsidR="00485E01" w:rsidRPr="00485E01" w:rsidTr="00CD495F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E01" w:rsidRPr="00485E01" w:rsidRDefault="00485E01" w:rsidP="00485E01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253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187</w:t>
            </w:r>
          </w:p>
        </w:tc>
        <w:tc>
          <w:tcPr>
            <w:tcW w:w="1281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280</w:t>
            </w:r>
          </w:p>
        </w:tc>
        <w:tc>
          <w:tcPr>
            <w:tcW w:w="1150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1861</w:t>
            </w:r>
          </w:p>
        </w:tc>
        <w:tc>
          <w:tcPr>
            <w:tcW w:w="1260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862</w:t>
            </w:r>
          </w:p>
        </w:tc>
        <w:tc>
          <w:tcPr>
            <w:tcW w:w="1321" w:type="dxa"/>
          </w:tcPr>
          <w:p w:rsidR="00485E01" w:rsidRPr="00485E01" w:rsidRDefault="00485E01" w:rsidP="00485E01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</w:tr>
      <w:tr w:rsidR="00485E01" w:rsidRPr="00485E01" w:rsidTr="00CD495F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E01" w:rsidRPr="00485E01" w:rsidRDefault="00485E01" w:rsidP="00485E01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253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914</w:t>
            </w:r>
          </w:p>
        </w:tc>
        <w:tc>
          <w:tcPr>
            <w:tcW w:w="1281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1382</w:t>
            </w:r>
          </w:p>
        </w:tc>
        <w:tc>
          <w:tcPr>
            <w:tcW w:w="1150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1070</w:t>
            </w:r>
          </w:p>
        </w:tc>
        <w:tc>
          <w:tcPr>
            <w:tcW w:w="1260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821</w:t>
            </w:r>
          </w:p>
        </w:tc>
        <w:tc>
          <w:tcPr>
            <w:tcW w:w="1321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1275</w:t>
            </w:r>
          </w:p>
        </w:tc>
      </w:tr>
      <w:tr w:rsidR="00485E01" w:rsidRPr="00485E01" w:rsidTr="00CD495F">
        <w:trPr>
          <w:trHeight w:val="230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E01" w:rsidRPr="00485E01" w:rsidRDefault="00485E01" w:rsidP="00485E01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253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507</w:t>
            </w:r>
          </w:p>
        </w:tc>
        <w:tc>
          <w:tcPr>
            <w:tcW w:w="1281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787</w:t>
            </w:r>
          </w:p>
        </w:tc>
        <w:tc>
          <w:tcPr>
            <w:tcW w:w="1150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774</w:t>
            </w:r>
          </w:p>
        </w:tc>
        <w:tc>
          <w:tcPr>
            <w:tcW w:w="1260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813</w:t>
            </w:r>
          </w:p>
        </w:tc>
        <w:tc>
          <w:tcPr>
            <w:tcW w:w="1321" w:type="dxa"/>
          </w:tcPr>
          <w:p w:rsidR="00485E01" w:rsidRPr="00485E01" w:rsidRDefault="00485E01" w:rsidP="00485E01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919</w:t>
            </w:r>
          </w:p>
        </w:tc>
      </w:tr>
      <w:tr w:rsidR="00485E01" w:rsidRPr="00485E01" w:rsidTr="00CD495F">
        <w:trPr>
          <w:trHeight w:val="346"/>
        </w:trPr>
        <w:tc>
          <w:tcPr>
            <w:tcW w:w="16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5E01" w:rsidRPr="00485E01" w:rsidRDefault="00485E01" w:rsidP="00485E01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253" w:type="dxa"/>
          </w:tcPr>
          <w:p w:rsidR="00485E01" w:rsidRPr="00485E01" w:rsidRDefault="00485E01" w:rsidP="00485E01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3.420</w:t>
            </w:r>
          </w:p>
        </w:tc>
        <w:tc>
          <w:tcPr>
            <w:tcW w:w="1281" w:type="dxa"/>
          </w:tcPr>
          <w:p w:rsidR="00485E01" w:rsidRPr="00485E01" w:rsidRDefault="00485E01" w:rsidP="00485E01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4.574</w:t>
            </w:r>
          </w:p>
        </w:tc>
        <w:tc>
          <w:tcPr>
            <w:tcW w:w="1150" w:type="dxa"/>
          </w:tcPr>
          <w:p w:rsidR="00485E01" w:rsidRPr="00485E01" w:rsidRDefault="00485E01" w:rsidP="00485E01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="002840CC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  <w:r w:rsidRPr="00485E01">
              <w:rPr>
                <w:rFonts w:ascii="Calibri" w:hAnsi="Calibri" w:cs="Arial"/>
                <w:color w:val="auto"/>
                <w:sz w:val="22"/>
                <w:szCs w:val="22"/>
              </w:rPr>
              <w:t>758</w:t>
            </w:r>
          </w:p>
        </w:tc>
        <w:tc>
          <w:tcPr>
            <w:tcW w:w="1260" w:type="dxa"/>
          </w:tcPr>
          <w:p w:rsidR="00485E01" w:rsidRPr="00485E01" w:rsidRDefault="00485E01" w:rsidP="00485E01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3</w:t>
            </w:r>
            <w:r w:rsidR="002840CC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  <w:r w:rsidRPr="00485E01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818</w:t>
            </w:r>
          </w:p>
        </w:tc>
        <w:tc>
          <w:tcPr>
            <w:tcW w:w="1321" w:type="dxa"/>
          </w:tcPr>
          <w:p w:rsidR="00485E01" w:rsidRPr="00485E01" w:rsidRDefault="00485E01" w:rsidP="00485E01">
            <w:pPr>
              <w:spacing w:line="276" w:lineRule="auto"/>
              <w:ind w:right="-132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485E01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="002840CC">
              <w:rPr>
                <w:rFonts w:ascii="Calibri" w:hAnsi="Calibri" w:cs="Arial"/>
                <w:color w:val="auto"/>
                <w:sz w:val="22"/>
                <w:szCs w:val="22"/>
              </w:rPr>
              <w:t>.</w:t>
            </w:r>
            <w:r w:rsidRPr="00485E01">
              <w:rPr>
                <w:rFonts w:ascii="Calibri" w:hAnsi="Calibri" w:cs="Arial"/>
                <w:color w:val="auto"/>
                <w:sz w:val="22"/>
                <w:szCs w:val="22"/>
              </w:rPr>
              <w:t>427</w:t>
            </w:r>
          </w:p>
        </w:tc>
      </w:tr>
    </w:tbl>
    <w:p w:rsidR="00485E01" w:rsidRPr="00485E01" w:rsidRDefault="00485E01" w:rsidP="00485E01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C91AD0" w:rsidRPr="009D7753" w:rsidRDefault="00C91AD0" w:rsidP="00B8789C">
      <w:pPr>
        <w:spacing w:line="276" w:lineRule="auto"/>
        <w:rPr>
          <w:rFonts w:ascii="Calibri" w:eastAsia="Calibri" w:hAnsi="Calibri" w:cs="Arial"/>
          <w:color w:val="auto"/>
          <w:lang w:eastAsia="x-none"/>
        </w:rPr>
      </w:pPr>
    </w:p>
    <w:p w:rsidR="00591F7C" w:rsidRPr="009D7753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9D7753">
        <w:rPr>
          <w:rFonts w:ascii="Calibri" w:hAnsi="Calibri" w:cs="Calibri"/>
          <w:color w:val="auto"/>
          <w:u w:val="single"/>
          <w:lang w:val="el-GR"/>
        </w:rPr>
        <w:t>Δ</w:t>
      </w:r>
      <w:r w:rsidR="00EC2EEB" w:rsidRPr="009D7753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9D7753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9D7753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9D7753">
        <w:rPr>
          <w:rFonts w:ascii="Calibri" w:hAnsi="Calibri" w:cs="Calibri"/>
          <w:caps/>
          <w:color w:val="auto"/>
          <w:u w:val="single"/>
          <w:lang w:val="el-GR"/>
        </w:rPr>
        <w:t>ΙΑΝΟΥΑΡΙΟ</w:t>
      </w:r>
      <w:r w:rsidR="00235FCE" w:rsidRPr="009D7753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9D7753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9D7753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9D7753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11378C" w:rsidRPr="003644FB" w:rsidTr="00DE65A2">
        <w:trPr>
          <w:trHeight w:val="937"/>
        </w:trPr>
        <w:tc>
          <w:tcPr>
            <w:tcW w:w="1762" w:type="dxa"/>
          </w:tcPr>
          <w:p w:rsidR="0011378C" w:rsidRPr="003644FB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11378C" w:rsidRPr="003644FB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11378C" w:rsidRPr="003644FB" w:rsidRDefault="0011378C" w:rsidP="0011378C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Μέσος Όρος</w:t>
            </w:r>
            <w:r w:rsidRPr="00861583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Α’, Β’ &amp; Γ’ Τριμήνου 2021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11378C" w:rsidRPr="003644FB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11378C" w:rsidRPr="0086158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464.159</w:t>
            </w:r>
          </w:p>
          <w:p w:rsidR="0011378C" w:rsidRPr="003644FB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11378C" w:rsidRPr="003644FB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11378C" w:rsidRPr="0086158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183.666</w:t>
            </w:r>
          </w:p>
          <w:p w:rsidR="0011378C" w:rsidRPr="003644FB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11378C" w:rsidRPr="003644FB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11378C" w:rsidRPr="0086158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131.000</w:t>
            </w:r>
          </w:p>
        </w:tc>
        <w:tc>
          <w:tcPr>
            <w:tcW w:w="1152" w:type="dxa"/>
          </w:tcPr>
          <w:p w:rsidR="0011378C" w:rsidRPr="003644FB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11378C" w:rsidRPr="0086158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76.388</w:t>
            </w:r>
          </w:p>
        </w:tc>
        <w:tc>
          <w:tcPr>
            <w:tcW w:w="1418" w:type="dxa"/>
          </w:tcPr>
          <w:p w:rsidR="0011378C" w:rsidRPr="003644FB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11378C" w:rsidRPr="0086158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25.583</w:t>
            </w:r>
          </w:p>
        </w:tc>
        <w:tc>
          <w:tcPr>
            <w:tcW w:w="990" w:type="dxa"/>
          </w:tcPr>
          <w:p w:rsidR="0011378C" w:rsidRPr="003644FB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11378C" w:rsidRPr="0086158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47.513</w:t>
            </w:r>
          </w:p>
        </w:tc>
      </w:tr>
      <w:tr w:rsidR="0011378C" w:rsidRPr="00E07979" w:rsidTr="00DE65A2">
        <w:trPr>
          <w:trHeight w:val="707"/>
        </w:trPr>
        <w:tc>
          <w:tcPr>
            <w:tcW w:w="1762" w:type="dxa"/>
          </w:tcPr>
          <w:p w:rsidR="0011378C" w:rsidRPr="00AF56E8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11378C" w:rsidRPr="00AF56E8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11378C" w:rsidRPr="00AF56E8" w:rsidRDefault="0011378C" w:rsidP="0011378C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11378C" w:rsidRPr="00D46FE6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15430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16903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52</w:t>
            </w: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</w:rPr>
              <w:t>%</w:t>
            </w:r>
          </w:p>
        </w:tc>
        <w:tc>
          <w:tcPr>
            <w:tcW w:w="1234" w:type="dxa"/>
          </w:tcPr>
          <w:p w:rsidR="0011378C" w:rsidRPr="002A1B0D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37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64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5329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59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11378C" w:rsidRPr="002A1B0D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521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411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56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1378C" w:rsidRPr="00DC5E3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2461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353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  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58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11378C" w:rsidRPr="002A1B0D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211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1475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31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% </w:t>
            </w:r>
          </w:p>
        </w:tc>
        <w:tc>
          <w:tcPr>
            <w:tcW w:w="990" w:type="dxa"/>
          </w:tcPr>
          <w:p w:rsidR="0011378C" w:rsidRPr="002A1B0D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473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35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11378C" w:rsidRPr="00AF56E8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49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11378C" w:rsidRPr="00E07979" w:rsidTr="00DE65A2">
        <w:trPr>
          <w:trHeight w:val="707"/>
        </w:trPr>
        <w:tc>
          <w:tcPr>
            <w:tcW w:w="1762" w:type="dxa"/>
          </w:tcPr>
          <w:p w:rsidR="0011378C" w:rsidRPr="005A0D9F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11378C" w:rsidRPr="005A0D9F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11378C" w:rsidRPr="005A0D9F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11378C" w:rsidRPr="002A1B0D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9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712</w:t>
            </w:r>
          </w:p>
          <w:p w:rsidR="0011378C" w:rsidRPr="0088704F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-1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1472</w:t>
            </w:r>
          </w:p>
          <w:p w:rsidR="0011378C" w:rsidRPr="005A0D9F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54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11378C" w:rsidRPr="002A1B0D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29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57</w:t>
            </w:r>
          </w:p>
          <w:p w:rsidR="0011378C" w:rsidRPr="002A1B0D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40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88</w:t>
            </w:r>
          </w:p>
          <w:p w:rsidR="0011378C" w:rsidRPr="005A0D9F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58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11378C" w:rsidRPr="008E0589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30</w:t>
            </w:r>
          </w:p>
          <w:p w:rsidR="0011378C" w:rsidRPr="008E0589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30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82</w:t>
            </w:r>
          </w:p>
          <w:p w:rsidR="0011378C" w:rsidRPr="005A0D9F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-56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1378C" w:rsidRPr="00DC5E3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</w:p>
          <w:p w:rsidR="0011378C" w:rsidRPr="00DC5E33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2348</w:t>
            </w:r>
          </w:p>
          <w:p w:rsidR="0011378C" w:rsidRPr="005A0D9F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57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11378C" w:rsidRPr="00DC5E3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  <w:r w:rsidRPr="00DC5E33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0</w:t>
            </w:r>
          </w:p>
          <w:p w:rsidR="0011378C" w:rsidRPr="008E0589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805</w:t>
            </w:r>
          </w:p>
          <w:p w:rsidR="0011378C" w:rsidRPr="005A0D9F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36</w:t>
            </w:r>
            <w:r w:rsidRPr="00DC5E33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11378C" w:rsidRPr="008E0589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130</w:t>
            </w:r>
          </w:p>
          <w:p w:rsidR="0011378C" w:rsidRPr="008E0589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11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49</w:t>
            </w:r>
          </w:p>
          <w:p w:rsidR="0011378C" w:rsidRPr="005A0D9F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50</w:t>
            </w:r>
            <w:r w:rsidRPr="005A0D9F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11378C" w:rsidRPr="000815CE" w:rsidTr="00DE65A2">
        <w:trPr>
          <w:trHeight w:val="923"/>
        </w:trPr>
        <w:tc>
          <w:tcPr>
            <w:tcW w:w="1762" w:type="dxa"/>
          </w:tcPr>
          <w:p w:rsidR="0011378C" w:rsidRPr="00DE2B0C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lastRenderedPageBreak/>
              <w:t>Άνεργοι Ευρωπαίοι</w:t>
            </w:r>
          </w:p>
          <w:p w:rsidR="0011378C" w:rsidRPr="00DE2B0C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11378C" w:rsidRPr="00DE2B0C" w:rsidRDefault="0011378C" w:rsidP="0011378C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11378C" w:rsidRPr="008E0589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496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357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9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11378C" w:rsidRPr="008E0589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0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49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11378C" w:rsidRPr="00A070B7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6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808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-5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1378C" w:rsidRPr="00A070B7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41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692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-6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75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555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29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642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653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1378C" w:rsidRPr="00DE2B0C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Pr="00DE2B0C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11378C" w:rsidRPr="000815CE" w:rsidTr="00DE65A2">
        <w:trPr>
          <w:trHeight w:val="937"/>
        </w:trPr>
        <w:tc>
          <w:tcPr>
            <w:tcW w:w="1762" w:type="dxa"/>
          </w:tcPr>
          <w:p w:rsidR="0011378C" w:rsidRPr="005A04F1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11378C" w:rsidRPr="005A04F1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11378C" w:rsidRPr="005A04F1" w:rsidRDefault="0011378C" w:rsidP="0011378C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802</w:t>
            </w:r>
            <w:r w:rsidRPr="005A04F1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1335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6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11378C" w:rsidRPr="00A070B7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106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35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7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11378C" w:rsidRPr="00A070B7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79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72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1378C" w:rsidRPr="00A070B7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134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54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65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23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143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3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11378C" w:rsidRPr="00A070B7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176</w:t>
            </w:r>
          </w:p>
          <w:p w:rsidR="0011378C" w:rsidRPr="001A67D3" w:rsidRDefault="0011378C" w:rsidP="0011378C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2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24</w:t>
            </w:r>
          </w:p>
          <w:p w:rsidR="0011378C" w:rsidRPr="005A04F1" w:rsidRDefault="0011378C" w:rsidP="0011378C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56</w:t>
            </w:r>
            <w:r w:rsidRPr="005A04F1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11378C" w:rsidRPr="000815CE" w:rsidTr="00DE65A2">
        <w:trPr>
          <w:trHeight w:val="937"/>
        </w:trPr>
        <w:tc>
          <w:tcPr>
            <w:tcW w:w="1762" w:type="dxa"/>
          </w:tcPr>
          <w:p w:rsidR="0011378C" w:rsidRPr="002D3437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Νέες Κοινοποιηθείσες κενές θέσεις</w:t>
            </w:r>
          </w:p>
          <w:p w:rsidR="0011378C" w:rsidRPr="002D3437" w:rsidRDefault="0011378C" w:rsidP="0011378C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(Πίνακας 14)</w:t>
            </w:r>
          </w:p>
        </w:tc>
        <w:tc>
          <w:tcPr>
            <w:tcW w:w="1251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1794</w:t>
            </w:r>
          </w:p>
        </w:tc>
        <w:tc>
          <w:tcPr>
            <w:tcW w:w="1234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649</w:t>
            </w:r>
          </w:p>
        </w:tc>
        <w:tc>
          <w:tcPr>
            <w:tcW w:w="1031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504</w:t>
            </w:r>
          </w:p>
        </w:tc>
        <w:tc>
          <w:tcPr>
            <w:tcW w:w="1152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270</w:t>
            </w:r>
          </w:p>
        </w:tc>
        <w:tc>
          <w:tcPr>
            <w:tcW w:w="1418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134</w:t>
            </w:r>
          </w:p>
        </w:tc>
        <w:tc>
          <w:tcPr>
            <w:tcW w:w="990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237</w:t>
            </w:r>
          </w:p>
        </w:tc>
      </w:tr>
      <w:tr w:rsidR="0011378C" w:rsidRPr="000815CE" w:rsidTr="00DE65A2">
        <w:trPr>
          <w:trHeight w:val="707"/>
        </w:trPr>
        <w:tc>
          <w:tcPr>
            <w:tcW w:w="1762" w:type="dxa"/>
          </w:tcPr>
          <w:p w:rsidR="0011378C" w:rsidRPr="002D3437" w:rsidRDefault="0011378C" w:rsidP="0011378C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11378C" w:rsidRPr="002D3437" w:rsidRDefault="0011378C" w:rsidP="0011378C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13730</w:t>
            </w:r>
          </w:p>
        </w:tc>
        <w:tc>
          <w:tcPr>
            <w:tcW w:w="1234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3462</w:t>
            </w:r>
          </w:p>
        </w:tc>
        <w:tc>
          <w:tcPr>
            <w:tcW w:w="1031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5662</w:t>
            </w:r>
          </w:p>
        </w:tc>
        <w:tc>
          <w:tcPr>
            <w:tcW w:w="1152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1899</w:t>
            </w:r>
          </w:p>
        </w:tc>
        <w:tc>
          <w:tcPr>
            <w:tcW w:w="1418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103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11378C" w:rsidRPr="001A67D3" w:rsidRDefault="0011378C" w:rsidP="0011378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1675</w:t>
            </w:r>
          </w:p>
        </w:tc>
      </w:tr>
    </w:tbl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C33BA5" w:rsidRDefault="00C33BA5" w:rsidP="00A00DD8">
      <w:pPr>
        <w:rPr>
          <w:rFonts w:ascii="Calibri" w:hAnsi="Calibri" w:cs="Calibri"/>
          <w:bCs w:val="0"/>
          <w:color w:val="auto"/>
          <w:lang w:val="el-GR"/>
        </w:rPr>
      </w:pPr>
      <w:r w:rsidRPr="00E411AE">
        <w:rPr>
          <w:rFonts w:ascii="Calibri" w:hAnsi="Calibri" w:cs="Calibri"/>
          <w:bCs w:val="0"/>
          <w:color w:val="auto"/>
          <w:lang w:val="el-GR"/>
        </w:rPr>
        <w:t xml:space="preserve"> </w:t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9D7753">
        <w:rPr>
          <w:rFonts w:ascii="Calibri" w:hAnsi="Calibri" w:cs="Calibri"/>
          <w:bCs w:val="0"/>
          <w:color w:val="auto"/>
          <w:lang w:val="el-GR"/>
        </w:rPr>
        <w:t>ΙΑΝΟΥΑΡΙΟΣ 2022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C51A93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C51A93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C51A93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C51A93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C51A93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C51A93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C51A93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C51A93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C51A93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9D477A">
        <w:rPr>
          <w:rFonts w:asciiTheme="minorHAnsi" w:hAnsiTheme="minorHAnsi" w:cs="Arial"/>
          <w:b w:val="0"/>
          <w:color w:val="auto"/>
          <w:lang w:val="el-GR"/>
        </w:rPr>
        <w:t>Ιανουάριο</w:t>
      </w:r>
      <w:r w:rsidR="001D7C87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D477A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>2.</w:t>
      </w:r>
      <w:r w:rsidR="009D477A">
        <w:rPr>
          <w:rFonts w:asciiTheme="minorHAnsi" w:hAnsiTheme="minorHAnsi" w:cs="Arial"/>
          <w:b w:val="0"/>
          <w:color w:val="auto"/>
          <w:lang w:val="el-GR"/>
        </w:rPr>
        <w:t>001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10.</w:t>
      </w:r>
      <w:r w:rsidR="009D477A">
        <w:rPr>
          <w:rFonts w:asciiTheme="minorHAnsi" w:hAnsiTheme="minorHAnsi" w:cs="Arial"/>
          <w:b w:val="0"/>
          <w:color w:val="auto"/>
          <w:lang w:val="el-GR"/>
        </w:rPr>
        <w:t>342</w:t>
      </w:r>
      <w:r w:rsidR="00B0521E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C91AD0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9D477A">
        <w:rPr>
          <w:rFonts w:asciiTheme="minorHAnsi" w:hAnsiTheme="minorHAnsi" w:cs="Arial"/>
          <w:b w:val="0"/>
          <w:color w:val="auto"/>
          <w:lang w:val="el-GR"/>
        </w:rPr>
        <w:t>3,8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>.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BC6F55" w:rsidRPr="00C51A93">
        <w:rPr>
          <w:rFonts w:asciiTheme="minorHAnsi" w:hAnsiTheme="minorHAnsi" w:cs="Arial"/>
          <w:b w:val="0"/>
          <w:color w:val="auto"/>
          <w:lang w:val="el-GR"/>
        </w:rPr>
        <w:t>1</w:t>
      </w:r>
      <w:r w:rsidR="009D477A">
        <w:rPr>
          <w:rFonts w:asciiTheme="minorHAnsi" w:hAnsiTheme="minorHAnsi" w:cs="Arial"/>
          <w:b w:val="0"/>
          <w:color w:val="auto"/>
          <w:lang w:val="el-GR"/>
        </w:rPr>
        <w:t>3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D477A">
        <w:rPr>
          <w:rFonts w:asciiTheme="minorHAnsi" w:hAnsiTheme="minorHAnsi" w:cs="Arial"/>
          <w:b w:val="0"/>
          <w:color w:val="auto"/>
          <w:lang w:val="el-GR"/>
        </w:rPr>
        <w:t>119</w:t>
      </w:r>
      <w:r w:rsidR="008048E3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9D477A">
        <w:rPr>
          <w:rFonts w:asciiTheme="minorHAnsi" w:hAnsiTheme="minorHAnsi" w:cs="Arial"/>
          <w:b w:val="0"/>
          <w:color w:val="auto"/>
          <w:lang w:val="el-GR"/>
        </w:rPr>
        <w:t>5,6</w:t>
      </w:r>
      <w:r w:rsidR="006A1B5E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9D477A">
        <w:rPr>
          <w:rFonts w:asciiTheme="minorHAnsi" w:hAnsiTheme="minorHAnsi" w:cs="Arial"/>
          <w:b w:val="0"/>
          <w:color w:val="auto"/>
          <w:lang w:val="el-GR"/>
        </w:rPr>
        <w:t>253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9D477A">
        <w:rPr>
          <w:rFonts w:asciiTheme="minorHAnsi" w:hAnsiTheme="minorHAnsi" w:cs="Arial"/>
          <w:b w:val="0"/>
          <w:color w:val="auto"/>
          <w:lang w:val="el-GR"/>
        </w:rPr>
        <w:t>Ιανουάριο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D477A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9D477A">
        <w:rPr>
          <w:rFonts w:asciiTheme="minorHAnsi" w:hAnsiTheme="minorHAnsi" w:cs="Arial"/>
          <w:b w:val="0"/>
          <w:color w:val="auto"/>
          <w:lang w:val="el-GR"/>
        </w:rPr>
        <w:t>16.552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8</w:t>
      </w:r>
      <w:r w:rsidR="009D477A">
        <w:rPr>
          <w:rFonts w:asciiTheme="minorHAnsi" w:hAnsiTheme="minorHAnsi" w:cs="Arial"/>
          <w:b w:val="0"/>
          <w:color w:val="auto"/>
          <w:lang w:val="el-GR"/>
        </w:rPr>
        <w:t>3,6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D477A">
        <w:rPr>
          <w:rFonts w:asciiTheme="minorHAnsi" w:hAnsiTheme="minorHAnsi" w:cs="Arial"/>
          <w:b w:val="0"/>
          <w:color w:val="auto"/>
          <w:lang w:val="el-GR"/>
        </w:rPr>
        <w:t>1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D52E4" w:rsidRPr="00C51A93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9D477A">
        <w:rPr>
          <w:rFonts w:asciiTheme="minorHAnsi" w:hAnsiTheme="minorHAnsi" w:cs="Arial"/>
          <w:b w:val="0"/>
          <w:color w:val="auto"/>
          <w:lang w:val="el-GR"/>
        </w:rPr>
        <w:t>49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9D477A">
        <w:rPr>
          <w:rFonts w:asciiTheme="minorHAnsi" w:hAnsiTheme="minorHAnsi" w:cs="Arial"/>
          <w:b w:val="0"/>
          <w:color w:val="auto"/>
          <w:lang w:val="el-GR"/>
        </w:rPr>
        <w:t>1</w:t>
      </w:r>
      <w:r w:rsidR="00C51A93" w:rsidRPr="00C51A93">
        <w:rPr>
          <w:rFonts w:asciiTheme="minorHAnsi" w:hAnsiTheme="minorHAnsi" w:cs="Arial"/>
          <w:b w:val="0"/>
          <w:color w:val="auto"/>
          <w:lang w:val="el-GR"/>
        </w:rPr>
        <w:t>,5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43EAC">
        <w:rPr>
          <w:rFonts w:ascii="Calibri" w:eastAsia="MS Mincho" w:hAnsi="Calibri" w:cs="Arial"/>
          <w:b w:val="0"/>
          <w:bCs w:val="0"/>
          <w:color w:val="auto"/>
          <w:lang w:val="el-GR"/>
        </w:rPr>
        <w:t>24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4E1CA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43EAC">
        <w:rPr>
          <w:rFonts w:ascii="Calibri" w:eastAsia="MS Mincho" w:hAnsi="Calibri" w:cs="Arial"/>
          <w:b w:val="0"/>
          <w:bCs w:val="0"/>
          <w:color w:val="auto"/>
          <w:lang w:val="el-GR"/>
        </w:rPr>
        <w:t>64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F30D2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A43EAC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A43EAC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733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A43EAC">
        <w:rPr>
          <w:rFonts w:ascii="Calibri" w:eastAsia="MS Mincho" w:hAnsi="Calibri" w:cs="Arial"/>
          <w:b w:val="0"/>
          <w:bCs w:val="0"/>
          <w:color w:val="auto"/>
          <w:lang w:val="el-GR"/>
        </w:rPr>
        <w:t>37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360256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7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216B80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="00A43EAC">
        <w:rPr>
          <w:rFonts w:ascii="Calibri" w:eastAsia="MS Mincho" w:hAnsi="Calibri" w:cs="Arial"/>
          <w:b w:val="0"/>
          <w:bCs w:val="0"/>
          <w:color w:val="auto"/>
          <w:lang w:val="el-GR"/>
        </w:rPr>
        <w:t>55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F30D2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8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lastRenderedPageBreak/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583713" w:rsidRPr="00583713">
        <w:rPr>
          <w:rFonts w:asciiTheme="minorHAnsi" w:hAnsiTheme="minorHAnsi" w:cs="Arial"/>
          <w:b w:val="0"/>
          <w:color w:val="auto"/>
          <w:lang w:val="el-GR"/>
        </w:rPr>
        <w:t>45</w:t>
      </w:r>
      <w:r w:rsidR="000C46D6">
        <w:rPr>
          <w:rFonts w:asciiTheme="minorHAnsi" w:hAnsiTheme="minorHAnsi" w:cs="Arial"/>
          <w:b w:val="0"/>
          <w:color w:val="auto"/>
          <w:lang w:val="el-GR"/>
        </w:rPr>
        <w:t>1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0C46D6" w:rsidRPr="000C46D6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0C46D6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(3</w:t>
      </w:r>
      <w:r w:rsidR="000C46D6">
        <w:rPr>
          <w:rFonts w:asciiTheme="minorHAnsi" w:hAnsiTheme="minorHAnsi" w:cs="Arial"/>
          <w:b w:val="0"/>
          <w:color w:val="auto"/>
          <w:lang w:val="el-GR"/>
        </w:rPr>
        <w:t>65</w:t>
      </w:r>
      <w:r w:rsidR="000C46D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0C46D6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CD058B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583713" w:rsidRPr="00583713">
        <w:rPr>
          <w:rFonts w:asciiTheme="minorHAnsi" w:hAnsiTheme="minorHAnsi" w:cs="Arial"/>
          <w:b w:val="0"/>
          <w:color w:val="auto"/>
          <w:lang w:val="el-GR"/>
        </w:rPr>
        <w:t>3</w:t>
      </w:r>
      <w:r w:rsidR="000C46D6">
        <w:rPr>
          <w:rFonts w:asciiTheme="minorHAnsi" w:hAnsiTheme="minorHAnsi" w:cs="Arial"/>
          <w:b w:val="0"/>
          <w:color w:val="auto"/>
          <w:lang w:val="el-GR"/>
        </w:rPr>
        <w:t>62</w:t>
      </w:r>
      <w:r w:rsidR="00CD058B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077E1E" w:rsidRPr="00583713">
        <w:rPr>
          <w:rFonts w:asciiTheme="minorHAnsi" w:hAnsiTheme="minorHAnsi" w:cs="Arial"/>
          <w:b w:val="0"/>
          <w:color w:val="auto"/>
          <w:lang w:val="el-GR"/>
        </w:rPr>
        <w:t>και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οι νεοεισερχόμενοι (</w:t>
      </w:r>
      <w:r w:rsidR="000C46D6">
        <w:rPr>
          <w:rFonts w:asciiTheme="minorHAnsi" w:hAnsiTheme="minorHAnsi" w:cs="Arial"/>
          <w:b w:val="0"/>
          <w:color w:val="auto"/>
          <w:lang w:val="el-GR"/>
        </w:rPr>
        <w:t>299</w:t>
      </w:r>
      <w:r w:rsidR="004D55DE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>άτομα)</w:t>
      </w:r>
      <w:r w:rsidR="00404433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, το μεγαλύτερο μερίδιο των μακροχρόνια ανέργων συγκεντρώνεται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51</w:t>
      </w:r>
      <w:r w:rsidR="000C46D6">
        <w:rPr>
          <w:rFonts w:asciiTheme="minorHAnsi" w:hAnsiTheme="minorHAnsi" w:cs="Arial"/>
          <w:b w:val="0"/>
          <w:noProof/>
          <w:color w:val="auto"/>
          <w:lang w:val="el-GR"/>
        </w:rPr>
        <w:t>6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2</w:t>
      </w:r>
      <w:r w:rsidR="000C46D6">
        <w:rPr>
          <w:rFonts w:asciiTheme="minorHAnsi" w:hAnsiTheme="minorHAnsi" w:cs="Arial"/>
          <w:b w:val="0"/>
          <w:noProof/>
          <w:color w:val="auto"/>
          <w:lang w:val="el-GR"/>
        </w:rPr>
        <w:t>5,8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στον τομέα του εμπορίου (</w:t>
      </w:r>
      <w:r w:rsidR="000C46D6">
        <w:rPr>
          <w:rFonts w:asciiTheme="minorHAnsi" w:hAnsiTheme="minorHAnsi" w:cs="Arial"/>
          <w:b w:val="0"/>
          <w:noProof/>
          <w:color w:val="auto"/>
          <w:lang w:val="el-GR"/>
        </w:rPr>
        <w:t>368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0C46D6">
        <w:rPr>
          <w:rFonts w:asciiTheme="minorHAnsi" w:hAnsiTheme="minorHAnsi" w:cs="Arial"/>
          <w:b w:val="0"/>
          <w:noProof/>
          <w:color w:val="auto"/>
          <w:lang w:val="el-GR"/>
        </w:rPr>
        <w:t>8,4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, στους νεοεισερχόμενους (</w:t>
      </w:r>
      <w:r w:rsidR="000C46D6">
        <w:rPr>
          <w:rFonts w:asciiTheme="minorHAnsi" w:hAnsiTheme="minorHAnsi" w:cs="Arial"/>
          <w:b w:val="0"/>
          <w:noProof/>
          <w:color w:val="auto"/>
          <w:lang w:val="el-GR"/>
        </w:rPr>
        <w:t>299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0C46D6">
        <w:rPr>
          <w:rFonts w:asciiTheme="minorHAnsi" w:hAnsiTheme="minorHAnsi" w:cs="Arial"/>
          <w:b w:val="0"/>
          <w:noProof/>
          <w:color w:val="auto"/>
          <w:lang w:val="el-GR"/>
        </w:rPr>
        <w:t>4,9</w:t>
      </w:r>
      <w:r w:rsidR="00B262E9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των υπηρεσιών</w:t>
      </w:r>
      <w:r w:rsidR="0018331A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παροχής καταλύματος και εστίασης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C140AD">
        <w:rPr>
          <w:rFonts w:asciiTheme="minorHAnsi" w:hAnsiTheme="minorHAnsi" w:cs="Arial"/>
          <w:b w:val="0"/>
          <w:noProof/>
          <w:color w:val="auto"/>
          <w:lang w:val="el-GR"/>
        </w:rPr>
        <w:t>252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583713" w:rsidRPr="00583713">
        <w:rPr>
          <w:rFonts w:asciiTheme="minorHAnsi" w:hAnsiTheme="minorHAnsi" w:cs="Arial"/>
          <w:b w:val="0"/>
          <w:noProof/>
          <w:color w:val="auto"/>
          <w:lang w:val="el-GR"/>
        </w:rPr>
        <w:t>2,</w:t>
      </w:r>
      <w:r w:rsidR="00C140AD">
        <w:rPr>
          <w:rFonts w:asciiTheme="minorHAnsi" w:hAnsiTheme="minorHAnsi" w:cs="Arial"/>
          <w:b w:val="0"/>
          <w:noProof/>
          <w:color w:val="auto"/>
          <w:lang w:val="el-GR"/>
        </w:rPr>
        <w:t>6%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μακροχρόνια ανέργων είναι </w:t>
      </w:r>
      <w:r w:rsidRPr="00086EC0">
        <w:rPr>
          <w:rFonts w:asciiTheme="minorHAnsi" w:hAnsiTheme="minorHAnsi" w:cs="Arial"/>
          <w:color w:val="auto"/>
          <w:lang w:val="el-GR"/>
        </w:rPr>
        <w:t>Ελληνοκύπριοι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1.</w:t>
      </w:r>
      <w:r w:rsidR="00C140AD">
        <w:rPr>
          <w:rFonts w:asciiTheme="minorHAnsi" w:hAnsiTheme="minorHAnsi" w:cs="Arial"/>
          <w:b w:val="0"/>
          <w:color w:val="auto"/>
          <w:lang w:val="el-GR"/>
        </w:rPr>
        <w:t>572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AB3B11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C140AD">
        <w:rPr>
          <w:rFonts w:asciiTheme="minorHAnsi" w:hAnsiTheme="minorHAnsi" w:cs="Arial"/>
          <w:b w:val="0"/>
          <w:color w:val="auto"/>
          <w:lang w:val="el-GR"/>
        </w:rPr>
        <w:t>9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C140AD">
        <w:rPr>
          <w:rFonts w:asciiTheme="minorHAnsi" w:hAnsiTheme="minorHAnsi" w:cs="Arial"/>
          <w:b w:val="0"/>
          <w:color w:val="auto"/>
          <w:lang w:val="el-GR"/>
        </w:rPr>
        <w:t>143</w:t>
      </w:r>
      <w:r w:rsidR="00981BE7" w:rsidRPr="00086EC0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B2245D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365FF8" w:rsidRPr="00086EC0">
        <w:rPr>
          <w:rFonts w:asciiTheme="minorHAnsi" w:hAnsiTheme="minorHAnsi" w:cs="Arial"/>
          <w:b w:val="0"/>
          <w:color w:val="auto"/>
          <w:lang w:val="el-GR"/>
        </w:rPr>
        <w:t xml:space="preserve">τα άτομα με καθεστώς συμπληρωματικής προστασίας (με </w:t>
      </w:r>
      <w:r w:rsidR="00724DC3" w:rsidRPr="00086EC0">
        <w:rPr>
          <w:rFonts w:asciiTheme="minorHAnsi" w:hAnsiTheme="minorHAnsi" w:cs="Arial"/>
          <w:b w:val="0"/>
          <w:color w:val="auto"/>
          <w:lang w:val="el-GR"/>
        </w:rPr>
        <w:t>1</w:t>
      </w:r>
      <w:r w:rsidR="00C140AD">
        <w:rPr>
          <w:rFonts w:asciiTheme="minorHAnsi" w:hAnsiTheme="minorHAnsi" w:cs="Arial"/>
          <w:b w:val="0"/>
          <w:color w:val="auto"/>
          <w:lang w:val="el-GR"/>
        </w:rPr>
        <w:t>4</w:t>
      </w:r>
      <w:r w:rsidR="00583713" w:rsidRPr="00086EC0">
        <w:rPr>
          <w:rFonts w:asciiTheme="minorHAnsi" w:hAnsiTheme="minorHAnsi" w:cs="Arial"/>
          <w:b w:val="0"/>
          <w:color w:val="auto"/>
          <w:lang w:val="el-GR"/>
        </w:rPr>
        <w:t>4</w:t>
      </w:r>
      <w:r w:rsidR="00365FF8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7</w:t>
      </w:r>
      <w:r w:rsidR="00365FF8" w:rsidRPr="00086EC0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AE1A11" w:rsidRPr="00086EC0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C140AD">
        <w:rPr>
          <w:rFonts w:asciiTheme="minorHAnsi" w:hAnsiTheme="minorHAnsi" w:cs="Arial"/>
          <w:b w:val="0"/>
          <w:color w:val="auto"/>
          <w:lang w:val="el-GR"/>
        </w:rPr>
        <w:t>80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724DC3" w:rsidRPr="00086EC0">
        <w:rPr>
          <w:rFonts w:asciiTheme="minorHAnsi" w:hAnsiTheme="minorHAnsi" w:cs="Arial"/>
          <w:b w:val="0"/>
          <w:color w:val="auto"/>
          <w:lang w:val="el-GR"/>
        </w:rPr>
        <w:t>4</w:t>
      </w:r>
      <w:r w:rsidR="006B77E1"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9F75A3" w:rsidRPr="00086EC0">
        <w:rPr>
          <w:rFonts w:asciiTheme="minorHAnsi" w:hAnsiTheme="minorHAnsi" w:cs="Arial"/>
          <w:b w:val="0"/>
          <w:color w:val="auto"/>
          <w:lang w:val="el-GR"/>
        </w:rPr>
        <w:t xml:space="preserve"> και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οι Πόντιοι με ελληνικό διαβατήριο (με </w:t>
      </w:r>
      <w:r w:rsidR="00C140AD">
        <w:rPr>
          <w:rFonts w:asciiTheme="minorHAnsi" w:hAnsiTheme="minorHAnsi" w:cs="Arial"/>
          <w:b w:val="0"/>
          <w:color w:val="auto"/>
          <w:lang w:val="el-GR"/>
        </w:rPr>
        <w:t>29</w:t>
      </w:r>
      <w:r w:rsidR="000D0F9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C140AD">
        <w:rPr>
          <w:rFonts w:asciiTheme="minorHAnsi" w:hAnsiTheme="minorHAnsi" w:cs="Arial"/>
          <w:b w:val="0"/>
          <w:color w:val="auto"/>
          <w:lang w:val="el-GR"/>
        </w:rPr>
        <w:t>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086EC0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30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1</w:t>
      </w:r>
      <w:r w:rsidR="00C140AD">
        <w:rPr>
          <w:rFonts w:asciiTheme="minorHAnsi" w:hAnsiTheme="minorHAnsi" w:cs="Arial"/>
          <w:b w:val="0"/>
          <w:color w:val="auto"/>
          <w:lang w:val="el-GR"/>
        </w:rPr>
        <w:t>43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086EC0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C140AD">
        <w:rPr>
          <w:rFonts w:asciiTheme="minorHAnsi" w:hAnsiTheme="minorHAnsi" w:cs="Arial"/>
          <w:b w:val="0"/>
          <w:color w:val="auto"/>
          <w:lang w:val="el-GR"/>
        </w:rPr>
        <w:t>7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B262E9" w:rsidRPr="00086EC0">
        <w:rPr>
          <w:rFonts w:asciiTheme="minorHAnsi" w:hAnsiTheme="minorHAnsi" w:cs="Arial"/>
          <w:b w:val="0"/>
          <w:color w:val="auto"/>
          <w:lang w:val="el-GR"/>
        </w:rPr>
        <w:t>3</w:t>
      </w:r>
      <w:r w:rsidR="00C140AD">
        <w:rPr>
          <w:rFonts w:asciiTheme="minorHAnsi" w:hAnsiTheme="minorHAnsi" w:cs="Arial"/>
          <w:b w:val="0"/>
          <w:color w:val="auto"/>
          <w:lang w:val="el-GR"/>
        </w:rPr>
        <w:t>3</w:t>
      </w:r>
      <w:r w:rsidR="00D93698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>ή Ρουμάνοι (</w:t>
      </w:r>
      <w:r w:rsidR="00C140AD">
        <w:rPr>
          <w:rFonts w:asciiTheme="minorHAnsi" w:hAnsiTheme="minorHAnsi" w:cs="Arial"/>
          <w:b w:val="0"/>
          <w:color w:val="auto"/>
          <w:lang w:val="el-GR"/>
        </w:rPr>
        <w:t>26</w:t>
      </w:r>
      <w:r w:rsidR="00C713A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EA1C88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133931">
        <w:rPr>
          <w:rFonts w:ascii="Calibri" w:eastAsia="MS Mincho" w:hAnsi="Calibri" w:cs="Arial"/>
          <w:bCs w:val="0"/>
          <w:color w:val="auto"/>
          <w:lang w:val="el-GR"/>
        </w:rPr>
        <w:t>Μάρτιος</w:t>
      </w:r>
      <w:r w:rsidR="00AC60FA" w:rsidRPr="00EA1C88">
        <w:rPr>
          <w:rFonts w:ascii="Calibri" w:eastAsia="MS Mincho" w:hAnsi="Calibri" w:cs="Arial"/>
          <w:bCs w:val="0"/>
          <w:color w:val="auto"/>
          <w:lang w:val="el-GR"/>
        </w:rPr>
        <w:t xml:space="preserve"> 202</w:t>
      </w:r>
      <w:r w:rsidR="006527D4">
        <w:rPr>
          <w:rFonts w:ascii="Calibri" w:eastAsia="MS Mincho" w:hAnsi="Calibri" w:cs="Arial"/>
          <w:bCs w:val="0"/>
          <w:color w:val="auto"/>
          <w:lang w:val="el-GR"/>
        </w:rPr>
        <w:t>2</w:t>
      </w: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E27309" w:rsidRPr="00EA1C88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00195F" w:rsidRPr="00EA1C88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764E4A" w:rsidRPr="00EA1C88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  <w:lang w:val="el-GR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133931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133931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133931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133931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figures\January 2022\ΚΕΦΑΛΑΙΟ Ι  ΙΙ ff -January 2022.docx</w:t>
      </w:r>
      <w:r w:rsidR="00133931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BD" w:rsidRDefault="001356BD">
      <w:r>
        <w:separator/>
      </w:r>
    </w:p>
  </w:endnote>
  <w:endnote w:type="continuationSeparator" w:id="0">
    <w:p w:rsidR="001356BD" w:rsidRDefault="0013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20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BD" w:rsidRDefault="001356BD">
      <w:r>
        <w:separator/>
      </w:r>
    </w:p>
  </w:footnote>
  <w:footnote w:type="continuationSeparator" w:id="0">
    <w:p w:rsidR="001356BD" w:rsidRDefault="001356BD">
      <w:r>
        <w:continuationSeparator/>
      </w:r>
    </w:p>
  </w:footnote>
  <w:footnote w:id="1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2A63E5" w:rsidRPr="006435EB" w:rsidRDefault="002A63E5" w:rsidP="002A63E5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 w:rsidR="00EA1C88">
        <w:rPr>
          <w:rFonts w:ascii="Calibri" w:hAnsi="Calibri" w:cs="Calibri"/>
          <w:sz w:val="18"/>
          <w:lang w:val="el-GR"/>
        </w:rPr>
        <w:t>3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</w:t>
      </w:r>
      <w:r w:rsidR="00871CEF">
        <w:rPr>
          <w:rFonts w:ascii="Calibri" w:hAnsi="Calibri" w:cs="Calibri"/>
          <w:sz w:val="18"/>
          <w:lang w:val="el-GR"/>
        </w:rPr>
        <w:t>1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485E01" w:rsidRPr="00887DBA" w:rsidRDefault="00485E01" w:rsidP="00485E01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(π.χ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0"/>
  </w:num>
  <w:num w:numId="6">
    <w:abstractNumId w:val="18"/>
  </w:num>
  <w:num w:numId="7">
    <w:abstractNumId w:val="24"/>
  </w:num>
  <w:num w:numId="8">
    <w:abstractNumId w:val="14"/>
  </w:num>
  <w:num w:numId="9">
    <w:abstractNumId w:val="2"/>
  </w:num>
  <w:num w:numId="10">
    <w:abstractNumId w:val="4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1"/>
  </w:num>
  <w:num w:numId="16">
    <w:abstractNumId w:val="3"/>
  </w:num>
  <w:num w:numId="17">
    <w:abstractNumId w:val="17"/>
  </w:num>
  <w:num w:numId="18">
    <w:abstractNumId w:val="10"/>
  </w:num>
  <w:num w:numId="19">
    <w:abstractNumId w:val="6"/>
  </w:num>
  <w:num w:numId="20">
    <w:abstractNumId w:val="27"/>
  </w:num>
  <w:num w:numId="21">
    <w:abstractNumId w:val="15"/>
  </w:num>
  <w:num w:numId="22">
    <w:abstractNumId w:val="26"/>
  </w:num>
  <w:num w:numId="23">
    <w:abstractNumId w:val="11"/>
  </w:num>
  <w:num w:numId="24">
    <w:abstractNumId w:val="20"/>
  </w:num>
  <w:num w:numId="25">
    <w:abstractNumId w:val="22"/>
  </w:num>
  <w:num w:numId="26">
    <w:abstractNumId w:val="9"/>
  </w:num>
  <w:num w:numId="27">
    <w:abstractNumId w:val="28"/>
  </w:num>
  <w:num w:numId="28">
    <w:abstractNumId w:val="19"/>
  </w:num>
  <w:num w:numId="2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6E7B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EF0"/>
    <w:rsid w:val="00035661"/>
    <w:rsid w:val="00036248"/>
    <w:rsid w:val="000364C5"/>
    <w:rsid w:val="00036556"/>
    <w:rsid w:val="00037994"/>
    <w:rsid w:val="00037B69"/>
    <w:rsid w:val="00040C24"/>
    <w:rsid w:val="00041917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6D6"/>
    <w:rsid w:val="000C4A69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8C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931"/>
    <w:rsid w:val="00133A83"/>
    <w:rsid w:val="00134044"/>
    <w:rsid w:val="00134539"/>
    <w:rsid w:val="00134EFA"/>
    <w:rsid w:val="001356BD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4307"/>
    <w:rsid w:val="00144661"/>
    <w:rsid w:val="0014494D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7D3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EE4"/>
    <w:rsid w:val="00202F2C"/>
    <w:rsid w:val="00202F8F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0CC"/>
    <w:rsid w:val="0028481E"/>
    <w:rsid w:val="0028489B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1B0D"/>
    <w:rsid w:val="002A2C28"/>
    <w:rsid w:val="002A322C"/>
    <w:rsid w:val="002A323D"/>
    <w:rsid w:val="002A36B6"/>
    <w:rsid w:val="002A40CA"/>
    <w:rsid w:val="002A48FB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10E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C7B"/>
    <w:rsid w:val="003A5DFD"/>
    <w:rsid w:val="003A5F3B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6072E"/>
    <w:rsid w:val="00460B4E"/>
    <w:rsid w:val="00460BD2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3BB"/>
    <w:rsid w:val="0046722B"/>
    <w:rsid w:val="004674A6"/>
    <w:rsid w:val="00467942"/>
    <w:rsid w:val="004679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109C"/>
    <w:rsid w:val="005D11CA"/>
    <w:rsid w:val="005D19B0"/>
    <w:rsid w:val="005D1E78"/>
    <w:rsid w:val="005D20DF"/>
    <w:rsid w:val="005D240B"/>
    <w:rsid w:val="005D29E8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04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40B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E82"/>
    <w:rsid w:val="00882204"/>
    <w:rsid w:val="00882CAB"/>
    <w:rsid w:val="00882CE8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0589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477A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753"/>
    <w:rsid w:val="009D7898"/>
    <w:rsid w:val="009D7C45"/>
    <w:rsid w:val="009E08B7"/>
    <w:rsid w:val="009E1E69"/>
    <w:rsid w:val="009E20CC"/>
    <w:rsid w:val="009E2415"/>
    <w:rsid w:val="009E2730"/>
    <w:rsid w:val="009E2B1E"/>
    <w:rsid w:val="009E2B54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505C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EA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C68"/>
    <w:rsid w:val="00A920B7"/>
    <w:rsid w:val="00A92F09"/>
    <w:rsid w:val="00A93B11"/>
    <w:rsid w:val="00A9431B"/>
    <w:rsid w:val="00A94F14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D54"/>
    <w:rsid w:val="00BF2F09"/>
    <w:rsid w:val="00BF3080"/>
    <w:rsid w:val="00BF4180"/>
    <w:rsid w:val="00BF464F"/>
    <w:rsid w:val="00BF47C7"/>
    <w:rsid w:val="00BF483C"/>
    <w:rsid w:val="00BF4B54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0AD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5295"/>
    <w:rsid w:val="00C856A4"/>
    <w:rsid w:val="00C85900"/>
    <w:rsid w:val="00C85905"/>
    <w:rsid w:val="00C85958"/>
    <w:rsid w:val="00C85ADB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72A8"/>
    <w:rsid w:val="00CB75BD"/>
    <w:rsid w:val="00CC01D7"/>
    <w:rsid w:val="00CC0D45"/>
    <w:rsid w:val="00CC0E09"/>
    <w:rsid w:val="00CC1286"/>
    <w:rsid w:val="00CC14B7"/>
    <w:rsid w:val="00CC2664"/>
    <w:rsid w:val="00CC33A2"/>
    <w:rsid w:val="00CC4132"/>
    <w:rsid w:val="00CC4A45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6DB"/>
    <w:rsid w:val="00DB28CE"/>
    <w:rsid w:val="00DB2906"/>
    <w:rsid w:val="00DB2EF1"/>
    <w:rsid w:val="00DB34E3"/>
    <w:rsid w:val="00DB3871"/>
    <w:rsid w:val="00DB440D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FC5"/>
    <w:rsid w:val="00DC0471"/>
    <w:rsid w:val="00DC072C"/>
    <w:rsid w:val="00DC18F8"/>
    <w:rsid w:val="00DC1989"/>
    <w:rsid w:val="00DC2069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5CA"/>
    <w:rsid w:val="00F53FB8"/>
    <w:rsid w:val="00F542F2"/>
    <w:rsid w:val="00F54CB6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AB"/>
    <w:rsid w:val="00F761D2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C34"/>
    <w:rsid w:val="00FE2F42"/>
    <w:rsid w:val="00FE3CE8"/>
    <w:rsid w:val="00FE44D3"/>
    <w:rsid w:val="00FE4573"/>
    <w:rsid w:val="00FE45ED"/>
    <w:rsid w:val="00FE5130"/>
    <w:rsid w:val="00FE54AD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6B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93805589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'total and gender '!$A$50:$B$62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'total and gender '!$D$50:$D$62</c:f>
              <c:numCache>
                <c:formatCode>#,##0</c:formatCode>
                <c:ptCount val="13"/>
                <c:pt idx="0">
                  <c:v>14204</c:v>
                </c:pt>
                <c:pt idx="1">
                  <c:v>14460</c:v>
                </c:pt>
                <c:pt idx="2">
                  <c:v>14517</c:v>
                </c:pt>
                <c:pt idx="3">
                  <c:v>14124</c:v>
                </c:pt>
                <c:pt idx="4">
                  <c:v>13701</c:v>
                </c:pt>
                <c:pt idx="5">
                  <c:v>11109</c:v>
                </c:pt>
                <c:pt idx="6">
                  <c:v>7157</c:v>
                </c:pt>
                <c:pt idx="7">
                  <c:v>5978</c:v>
                </c:pt>
                <c:pt idx="8">
                  <c:v>4818</c:v>
                </c:pt>
                <c:pt idx="9">
                  <c:v>4862</c:v>
                </c:pt>
                <c:pt idx="10">
                  <c:v>6281</c:v>
                </c:pt>
                <c:pt idx="11">
                  <c:v>6713</c:v>
                </c:pt>
                <c:pt idx="12">
                  <c:v>7084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907-4F7D-8FF4-BC339B1697AE}"/>
            </c:ext>
          </c:extLst>
        </c:ser>
        <c:ser>
          <c:idx val="1"/>
          <c:order val="1"/>
          <c:tx>
            <c:strRef>
              <c:f>'total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'total and gender '!$A$50:$B$62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'total and gender '!$E$50:$E$62</c:f>
              <c:numCache>
                <c:formatCode>#,##0</c:formatCode>
                <c:ptCount val="13"/>
                <c:pt idx="0">
                  <c:v>18129</c:v>
                </c:pt>
                <c:pt idx="1">
                  <c:v>18329</c:v>
                </c:pt>
                <c:pt idx="2">
                  <c:v>18416</c:v>
                </c:pt>
                <c:pt idx="3">
                  <c:v>18062</c:v>
                </c:pt>
                <c:pt idx="4">
                  <c:v>17586</c:v>
                </c:pt>
                <c:pt idx="5">
                  <c:v>15585</c:v>
                </c:pt>
                <c:pt idx="6">
                  <c:v>11793</c:v>
                </c:pt>
                <c:pt idx="7">
                  <c:v>10303</c:v>
                </c:pt>
                <c:pt idx="8">
                  <c:v>6506</c:v>
                </c:pt>
                <c:pt idx="9">
                  <c:v>6112</c:v>
                </c:pt>
                <c:pt idx="10">
                  <c:v>7696</c:v>
                </c:pt>
                <c:pt idx="11">
                  <c:v>8087</c:v>
                </c:pt>
                <c:pt idx="12">
                  <c:v>8346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907-4F7D-8FF4-BC339B1697AE}"/>
            </c:ext>
          </c:extLst>
        </c:ser>
        <c:ser>
          <c:idx val="0"/>
          <c:order val="2"/>
          <c:tx>
            <c:strRef>
              <c:f>'total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'total and gender '!$A$50:$B$62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'total and gender '!$C$50:$C$62</c:f>
              <c:numCache>
                <c:formatCode>#,##0</c:formatCode>
                <c:ptCount val="13"/>
                <c:pt idx="0">
                  <c:v>32333</c:v>
                </c:pt>
                <c:pt idx="1">
                  <c:v>32789</c:v>
                </c:pt>
                <c:pt idx="2">
                  <c:v>32933</c:v>
                </c:pt>
                <c:pt idx="3">
                  <c:v>32186</c:v>
                </c:pt>
                <c:pt idx="4">
                  <c:v>31287</c:v>
                </c:pt>
                <c:pt idx="5">
                  <c:v>26694</c:v>
                </c:pt>
                <c:pt idx="6">
                  <c:v>18950</c:v>
                </c:pt>
                <c:pt idx="7">
                  <c:v>16281</c:v>
                </c:pt>
                <c:pt idx="8">
                  <c:v>11324</c:v>
                </c:pt>
                <c:pt idx="9">
                  <c:v>10974</c:v>
                </c:pt>
                <c:pt idx="10">
                  <c:v>13977</c:v>
                </c:pt>
                <c:pt idx="11">
                  <c:v>14800</c:v>
                </c:pt>
                <c:pt idx="12">
                  <c:v>15430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907-4F7D-8FF4-BC339B1697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162112"/>
        <c:axId val="239163648"/>
      </c:lineChart>
      <c:catAx>
        <c:axId val="23916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9163648"/>
        <c:crosses val="autoZero"/>
        <c:auto val="1"/>
        <c:lblAlgn val="ctr"/>
        <c:lblOffset val="100"/>
        <c:noMultiLvlLbl val="0"/>
      </c:catAx>
      <c:valAx>
        <c:axId val="239163648"/>
        <c:scaling>
          <c:orientation val="minMax"/>
          <c:max val="4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39162112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99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9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9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</a:p>
        </c:rich>
      </c:tx>
      <c:layout>
        <c:manualLayout>
          <c:xMode val="edge"/>
          <c:yMode val="edge"/>
          <c:x val="0.21978019532010795"/>
          <c:y val="3.7037037037037035E-2"/>
        </c:manualLayout>
      </c:layout>
      <c:overlay val="0"/>
      <c:spPr>
        <a:noFill/>
        <a:ln w="253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'επαρχία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'επαρχία '!$AX$3:$BJ$3</c:f>
              <c:numCache>
                <c:formatCode>General</c:formatCode>
                <c:ptCount val="13"/>
                <c:pt idx="0">
                  <c:v>9093</c:v>
                </c:pt>
                <c:pt idx="1">
                  <c:v>9138</c:v>
                </c:pt>
                <c:pt idx="2">
                  <c:v>9232</c:v>
                </c:pt>
                <c:pt idx="3">
                  <c:v>9166</c:v>
                </c:pt>
                <c:pt idx="4">
                  <c:v>9122</c:v>
                </c:pt>
                <c:pt idx="5">
                  <c:v>8429</c:v>
                </c:pt>
                <c:pt idx="6">
                  <c:v>6506</c:v>
                </c:pt>
                <c:pt idx="7">
                  <c:v>5859</c:v>
                </c:pt>
                <c:pt idx="8">
                  <c:v>4111</c:v>
                </c:pt>
                <c:pt idx="9">
                  <c:v>3939</c:v>
                </c:pt>
                <c:pt idx="10">
                  <c:v>4008</c:v>
                </c:pt>
                <c:pt idx="11">
                  <c:v>3677</c:v>
                </c:pt>
                <c:pt idx="12">
                  <c:v>3764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B5D-435C-8426-38B04EE31625}"/>
            </c:ext>
          </c:extLst>
        </c:ser>
        <c:ser>
          <c:idx val="1"/>
          <c:order val="1"/>
          <c:tx>
            <c:strRef>
              <c:f>'επαρχία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'επαρχία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'επαρχία '!$AX$4:$BJ$4</c:f>
              <c:numCache>
                <c:formatCode>General</c:formatCode>
                <c:ptCount val="13"/>
                <c:pt idx="0">
                  <c:v>4686</c:v>
                </c:pt>
                <c:pt idx="1">
                  <c:v>4703</c:v>
                </c:pt>
                <c:pt idx="2">
                  <c:v>4691</c:v>
                </c:pt>
                <c:pt idx="3">
                  <c:v>4485</c:v>
                </c:pt>
                <c:pt idx="4">
                  <c:v>3915</c:v>
                </c:pt>
                <c:pt idx="5">
                  <c:v>2492</c:v>
                </c:pt>
                <c:pt idx="6">
                  <c:v>1426</c:v>
                </c:pt>
                <c:pt idx="7">
                  <c:v>967</c:v>
                </c:pt>
                <c:pt idx="8">
                  <c:v>646</c:v>
                </c:pt>
                <c:pt idx="9">
                  <c:v>686</c:v>
                </c:pt>
                <c:pt idx="10">
                  <c:v>2394</c:v>
                </c:pt>
                <c:pt idx="11">
                  <c:v>3156</c:v>
                </c:pt>
                <c:pt idx="12">
                  <c:v>3211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B5D-435C-8426-38B04EE31625}"/>
            </c:ext>
          </c:extLst>
        </c:ser>
        <c:ser>
          <c:idx val="2"/>
          <c:order val="2"/>
          <c:tx>
            <c:strRef>
              <c:f>'επαρχία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'επαρχία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'επαρχία '!$AX$5:$BJ$5</c:f>
              <c:numCache>
                <c:formatCode>General</c:formatCode>
                <c:ptCount val="13"/>
                <c:pt idx="0">
                  <c:v>5814</c:v>
                </c:pt>
                <c:pt idx="1">
                  <c:v>5899</c:v>
                </c:pt>
                <c:pt idx="2">
                  <c:v>5937</c:v>
                </c:pt>
                <c:pt idx="3">
                  <c:v>5776</c:v>
                </c:pt>
                <c:pt idx="4">
                  <c:v>5593</c:v>
                </c:pt>
                <c:pt idx="5">
                  <c:v>4751</c:v>
                </c:pt>
                <c:pt idx="6">
                  <c:v>3199</c:v>
                </c:pt>
                <c:pt idx="7">
                  <c:v>2653</c:v>
                </c:pt>
                <c:pt idx="8">
                  <c:v>1794</c:v>
                </c:pt>
                <c:pt idx="9">
                  <c:v>1699</c:v>
                </c:pt>
                <c:pt idx="10">
                  <c:v>2248</c:v>
                </c:pt>
                <c:pt idx="11">
                  <c:v>2295</c:v>
                </c:pt>
                <c:pt idx="12">
                  <c:v>2461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B5D-435C-8426-38B04EE31625}"/>
            </c:ext>
          </c:extLst>
        </c:ser>
        <c:ser>
          <c:idx val="3"/>
          <c:order val="3"/>
          <c:tx>
            <c:strRef>
              <c:f>'επαρχία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'επαρχία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'επαρχία '!$AX$6:$BJ$6</c:f>
              <c:numCache>
                <c:formatCode>General</c:formatCode>
                <c:ptCount val="13"/>
                <c:pt idx="0">
                  <c:v>7932</c:v>
                </c:pt>
                <c:pt idx="1">
                  <c:v>8103</c:v>
                </c:pt>
                <c:pt idx="2">
                  <c:v>8112</c:v>
                </c:pt>
                <c:pt idx="3">
                  <c:v>7925</c:v>
                </c:pt>
                <c:pt idx="4">
                  <c:v>7953</c:v>
                </c:pt>
                <c:pt idx="5">
                  <c:v>7174</c:v>
                </c:pt>
                <c:pt idx="6">
                  <c:v>5258</c:v>
                </c:pt>
                <c:pt idx="7">
                  <c:v>4664</c:v>
                </c:pt>
                <c:pt idx="8">
                  <c:v>3290</c:v>
                </c:pt>
                <c:pt idx="9">
                  <c:v>3244</c:v>
                </c:pt>
                <c:pt idx="10">
                  <c:v>3496</c:v>
                </c:pt>
                <c:pt idx="11">
                  <c:v>3422</c:v>
                </c:pt>
                <c:pt idx="12">
                  <c:v>3521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B5D-435C-8426-38B04EE31625}"/>
            </c:ext>
          </c:extLst>
        </c:ser>
        <c:ser>
          <c:idx val="4"/>
          <c:order val="4"/>
          <c:tx>
            <c:strRef>
              <c:f>'επαρχία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'επαρχία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Ιουνίος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'επαρχία '!$AX$7:$BJ$7</c:f>
              <c:numCache>
                <c:formatCode>General</c:formatCode>
                <c:ptCount val="13"/>
                <c:pt idx="0">
                  <c:v>4808</c:v>
                </c:pt>
                <c:pt idx="1">
                  <c:v>4946</c:v>
                </c:pt>
                <c:pt idx="2">
                  <c:v>4961</c:v>
                </c:pt>
                <c:pt idx="3">
                  <c:v>4834</c:v>
                </c:pt>
                <c:pt idx="4">
                  <c:v>4704</c:v>
                </c:pt>
                <c:pt idx="5">
                  <c:v>3848</c:v>
                </c:pt>
                <c:pt idx="6">
                  <c:v>2561</c:v>
                </c:pt>
                <c:pt idx="7">
                  <c:v>2138</c:v>
                </c:pt>
                <c:pt idx="8">
                  <c:v>1483</c:v>
                </c:pt>
                <c:pt idx="9">
                  <c:v>1406</c:v>
                </c:pt>
                <c:pt idx="10">
                  <c:v>1831</c:v>
                </c:pt>
                <c:pt idx="11">
                  <c:v>2250</c:v>
                </c:pt>
                <c:pt idx="12">
                  <c:v>2473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B5D-435C-8426-38B04EE316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103360"/>
        <c:axId val="239113344"/>
      </c:lineChart>
      <c:catAx>
        <c:axId val="23910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39113344"/>
        <c:crosses val="autoZero"/>
        <c:auto val="1"/>
        <c:lblAlgn val="ctr"/>
        <c:lblOffset val="100"/>
        <c:noMultiLvlLbl val="0"/>
      </c:catAx>
      <c:valAx>
        <c:axId val="23911334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3910336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21871956817"/>
          <c:y val="0.23211984466853922"/>
          <c:w val="0.27032970701983805"/>
          <c:h val="0.52525241362373565"/>
        </c:manualLayout>
      </c:layout>
      <c:overlay val="0"/>
      <c:txPr>
        <a:bodyPr/>
        <a:lstStyle/>
        <a:p>
          <a:pPr>
            <a:defRPr lang="el-GR"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198"/>
            </a:pPr>
            <a:r>
              <a:rPr lang="el-GR" sz="1199"/>
              <a:t>Διακύμανση του αριθμού των ανέργων </a:t>
            </a:r>
            <a:endParaRPr lang="en-US" sz="1200"/>
          </a:p>
          <a:p>
            <a:pPr>
              <a:defRPr sz="1198"/>
            </a:pPr>
            <a:r>
              <a:rPr lang="el-GR" sz="1199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'οικονομική '!$AZ$23:$BL$24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'οικονομική '!$AZ$24:$BK$24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D24-4399-A0D3-79264A02355C}"/>
            </c:ext>
          </c:extLst>
        </c:ser>
        <c:ser>
          <c:idx val="1"/>
          <c:order val="1"/>
          <c:tx>
            <c:strRef>
              <c:f>'οικονομική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'οικονομική '!$AZ$23:$BL$24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'οικονομική '!$AZ$25:$BL$25</c:f>
              <c:numCache>
                <c:formatCode>General</c:formatCode>
                <c:ptCount val="13"/>
                <c:pt idx="0">
                  <c:v>6035</c:v>
                </c:pt>
                <c:pt idx="1">
                  <c:v>6129</c:v>
                </c:pt>
                <c:pt idx="2">
                  <c:v>6159</c:v>
                </c:pt>
                <c:pt idx="3">
                  <c:v>6066</c:v>
                </c:pt>
                <c:pt idx="4">
                  <c:v>6002</c:v>
                </c:pt>
                <c:pt idx="5">
                  <c:v>4956</c:v>
                </c:pt>
                <c:pt idx="6">
                  <c:v>3241</c:v>
                </c:pt>
                <c:pt idx="7">
                  <c:v>2726</c:v>
                </c:pt>
                <c:pt idx="8">
                  <c:v>2309</c:v>
                </c:pt>
                <c:pt idx="9">
                  <c:v>2283</c:v>
                </c:pt>
                <c:pt idx="10">
                  <c:v>2375</c:v>
                </c:pt>
                <c:pt idx="11">
                  <c:v>2327</c:v>
                </c:pt>
                <c:pt idx="12">
                  <c:v>2364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D24-4399-A0D3-79264A02355C}"/>
            </c:ext>
          </c:extLst>
        </c:ser>
        <c:ser>
          <c:idx val="2"/>
          <c:order val="2"/>
          <c:tx>
            <c:strRef>
              <c:f>'οικονομική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'οικονομική '!$AZ$23:$BL$24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'οικονομική '!$AZ$26:$BL$26</c:f>
              <c:numCache>
                <c:formatCode>General</c:formatCode>
                <c:ptCount val="13"/>
                <c:pt idx="0">
                  <c:v>5645</c:v>
                </c:pt>
                <c:pt idx="1">
                  <c:v>5663</c:v>
                </c:pt>
                <c:pt idx="2">
                  <c:v>5635</c:v>
                </c:pt>
                <c:pt idx="3">
                  <c:v>5575</c:v>
                </c:pt>
                <c:pt idx="4">
                  <c:v>5591</c:v>
                </c:pt>
                <c:pt idx="5">
                  <c:v>5616</c:v>
                </c:pt>
                <c:pt idx="6">
                  <c:v>4932</c:v>
                </c:pt>
                <c:pt idx="7">
                  <c:v>4494</c:v>
                </c:pt>
                <c:pt idx="8">
                  <c:v>2341</c:v>
                </c:pt>
                <c:pt idx="9">
                  <c:v>2168</c:v>
                </c:pt>
                <c:pt idx="10">
                  <c:v>2413</c:v>
                </c:pt>
                <c:pt idx="11">
                  <c:v>541</c:v>
                </c:pt>
                <c:pt idx="12">
                  <c:v>590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D24-4399-A0D3-79264A02355C}"/>
            </c:ext>
          </c:extLst>
        </c:ser>
        <c:ser>
          <c:idx val="3"/>
          <c:order val="3"/>
          <c:tx>
            <c:strRef>
              <c:f>'οικονομική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'οικονομική '!$AZ$23:$BL$24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'οικονομική '!$AZ$27:$BL$27</c:f>
              <c:numCache>
                <c:formatCode>General</c:formatCode>
                <c:ptCount val="13"/>
                <c:pt idx="0">
                  <c:v>7496</c:v>
                </c:pt>
                <c:pt idx="1">
                  <c:v>7527</c:v>
                </c:pt>
                <c:pt idx="2">
                  <c:v>7493</c:v>
                </c:pt>
                <c:pt idx="3">
                  <c:v>7100</c:v>
                </c:pt>
                <c:pt idx="4">
                  <c:v>6467</c:v>
                </c:pt>
                <c:pt idx="5">
                  <c:v>4430</c:v>
                </c:pt>
                <c:pt idx="6">
                  <c:v>2473</c:v>
                </c:pt>
                <c:pt idx="7">
                  <c:v>1772</c:v>
                </c:pt>
                <c:pt idx="8">
                  <c:v>1294</c:v>
                </c:pt>
                <c:pt idx="9">
                  <c:v>1325</c:v>
                </c:pt>
                <c:pt idx="10">
                  <c:v>3655</c:v>
                </c:pt>
                <c:pt idx="11">
                  <c:v>4436</c:v>
                </c:pt>
                <c:pt idx="12">
                  <c:v>4599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D24-4399-A0D3-79264A02355C}"/>
            </c:ext>
          </c:extLst>
        </c:ser>
        <c:ser>
          <c:idx val="4"/>
          <c:order val="4"/>
          <c:tx>
            <c:strRef>
              <c:f>'οικονομική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'οικονομική '!$AZ$23:$BL$24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'οικονομική '!$AZ$28:$BL$28</c:f>
              <c:numCache>
                <c:formatCode>General</c:formatCode>
                <c:ptCount val="13"/>
                <c:pt idx="0">
                  <c:v>2343</c:v>
                </c:pt>
                <c:pt idx="1">
                  <c:v>2413</c:v>
                </c:pt>
                <c:pt idx="2">
                  <c:v>2477</c:v>
                </c:pt>
                <c:pt idx="3">
                  <c:v>2444</c:v>
                </c:pt>
                <c:pt idx="4">
                  <c:v>2436</c:v>
                </c:pt>
                <c:pt idx="5">
                  <c:v>2034</c:v>
                </c:pt>
                <c:pt idx="6">
                  <c:v>1362</c:v>
                </c:pt>
                <c:pt idx="7">
                  <c:v>1183</c:v>
                </c:pt>
                <c:pt idx="8">
                  <c:v>981</c:v>
                </c:pt>
                <c:pt idx="9">
                  <c:v>876</c:v>
                </c:pt>
                <c:pt idx="10">
                  <c:v>335</c:v>
                </c:pt>
                <c:pt idx="11">
                  <c:v>313</c:v>
                </c:pt>
                <c:pt idx="12">
                  <c:v>314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D24-4399-A0D3-79264A023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335680"/>
        <c:axId val="261488640"/>
      </c:lineChart>
      <c:catAx>
        <c:axId val="23933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61488640"/>
        <c:crosses val="autoZero"/>
        <c:auto val="1"/>
        <c:lblAlgn val="ctr"/>
        <c:lblOffset val="100"/>
        <c:noMultiLvlLbl val="0"/>
      </c:catAx>
      <c:valAx>
        <c:axId val="2614886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3933568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199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82990642069"/>
          <c:y val="3.5190601174853141E-2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επάγγελμα!$B$4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επάγγελμα!$AY$1:$BK$2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επάγγελμα!$AY$4:$BK$4</c:f>
              <c:numCache>
                <c:formatCode>General</c:formatCode>
                <c:ptCount val="13"/>
                <c:pt idx="0">
                  <c:v>3018</c:v>
                </c:pt>
                <c:pt idx="1">
                  <c:v>3009</c:v>
                </c:pt>
                <c:pt idx="2">
                  <c:v>2979</c:v>
                </c:pt>
                <c:pt idx="3">
                  <c:v>3016</c:v>
                </c:pt>
                <c:pt idx="4">
                  <c:v>3034</c:v>
                </c:pt>
                <c:pt idx="5">
                  <c:v>3505</c:v>
                </c:pt>
                <c:pt idx="6">
                  <c:v>3350</c:v>
                </c:pt>
                <c:pt idx="7">
                  <c:v>3260</c:v>
                </c:pt>
                <c:pt idx="8">
                  <c:v>1651</c:v>
                </c:pt>
                <c:pt idx="9">
                  <c:v>1386</c:v>
                </c:pt>
                <c:pt idx="10">
                  <c:v>1364</c:v>
                </c:pt>
                <c:pt idx="11">
                  <c:v>1358</c:v>
                </c:pt>
                <c:pt idx="12">
                  <c:v>1282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3AF-4680-901D-5D403714ADAD}"/>
            </c:ext>
          </c:extLst>
        </c:ser>
        <c:ser>
          <c:idx val="1"/>
          <c:order val="1"/>
          <c:tx>
            <c:strRef>
              <c:f>επάγγελμα!$B$6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επάγγελμα!$AY$1:$BK$2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επάγγελμα!$AY$6:$BK$6</c:f>
              <c:numCache>
                <c:formatCode>General</c:formatCode>
                <c:ptCount val="13"/>
                <c:pt idx="0">
                  <c:v>5289</c:v>
                </c:pt>
                <c:pt idx="1">
                  <c:v>5345</c:v>
                </c:pt>
                <c:pt idx="2">
                  <c:v>5349</c:v>
                </c:pt>
                <c:pt idx="3">
                  <c:v>5271</c:v>
                </c:pt>
                <c:pt idx="4">
                  <c:v>5181</c:v>
                </c:pt>
                <c:pt idx="5">
                  <c:v>4260</c:v>
                </c:pt>
                <c:pt idx="6">
                  <c:v>2886</c:v>
                </c:pt>
                <c:pt idx="7">
                  <c:v>2528</c:v>
                </c:pt>
                <c:pt idx="8">
                  <c:v>2141</c:v>
                </c:pt>
                <c:pt idx="9">
                  <c:v>2155</c:v>
                </c:pt>
                <c:pt idx="10">
                  <c:v>2465</c:v>
                </c:pt>
                <c:pt idx="11">
                  <c:v>2407</c:v>
                </c:pt>
                <c:pt idx="12">
                  <c:v>2576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3AF-4680-901D-5D403714ADAD}"/>
            </c:ext>
          </c:extLst>
        </c:ser>
        <c:ser>
          <c:idx val="2"/>
          <c:order val="2"/>
          <c:tx>
            <c:strRef>
              <c:f>επάγγελμα!$B$7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4"/>
          </c:marker>
          <c:cat>
            <c:multiLvlStrRef>
              <c:f>επάγγελμα!$AY$1:$BK$2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επάγγελμα!$AY$7:$BK$7</c:f>
              <c:numCache>
                <c:formatCode>General</c:formatCode>
                <c:ptCount val="13"/>
                <c:pt idx="0">
                  <c:v>9212</c:v>
                </c:pt>
                <c:pt idx="1">
                  <c:v>9330</c:v>
                </c:pt>
                <c:pt idx="2">
                  <c:v>9340</c:v>
                </c:pt>
                <c:pt idx="3">
                  <c:v>8931</c:v>
                </c:pt>
                <c:pt idx="4">
                  <c:v>8520</c:v>
                </c:pt>
                <c:pt idx="5">
                  <c:v>7274</c:v>
                </c:pt>
                <c:pt idx="6">
                  <c:v>4849</c:v>
                </c:pt>
                <c:pt idx="7">
                  <c:v>4016</c:v>
                </c:pt>
                <c:pt idx="8">
                  <c:v>2461</c:v>
                </c:pt>
                <c:pt idx="9">
                  <c:v>2443</c:v>
                </c:pt>
                <c:pt idx="10">
                  <c:v>3927</c:v>
                </c:pt>
                <c:pt idx="11">
                  <c:v>4529</c:v>
                </c:pt>
                <c:pt idx="12">
                  <c:v>4683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3AF-4680-901D-5D403714ADAD}"/>
            </c:ext>
          </c:extLst>
        </c:ser>
        <c:ser>
          <c:idx val="3"/>
          <c:order val="3"/>
          <c:tx>
            <c:strRef>
              <c:f>επάγγελμα!$B$9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επάγγελμα!$AY$1:$BK$2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επάγγελμα!$AY$9:$BK$9</c:f>
              <c:numCache>
                <c:formatCode>General</c:formatCode>
                <c:ptCount val="13"/>
                <c:pt idx="0">
                  <c:v>1736</c:v>
                </c:pt>
                <c:pt idx="1">
                  <c:v>1804</c:v>
                </c:pt>
                <c:pt idx="2">
                  <c:v>1817</c:v>
                </c:pt>
                <c:pt idx="3">
                  <c:v>1805</c:v>
                </c:pt>
                <c:pt idx="4">
                  <c:v>1772</c:v>
                </c:pt>
                <c:pt idx="5">
                  <c:v>1422</c:v>
                </c:pt>
                <c:pt idx="6">
                  <c:v>928</c:v>
                </c:pt>
                <c:pt idx="7">
                  <c:v>791</c:v>
                </c:pt>
                <c:pt idx="8">
                  <c:v>700</c:v>
                </c:pt>
                <c:pt idx="9">
                  <c:v>735</c:v>
                </c:pt>
                <c:pt idx="10">
                  <c:v>819</c:v>
                </c:pt>
                <c:pt idx="11">
                  <c:v>804</c:v>
                </c:pt>
                <c:pt idx="12">
                  <c:v>848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3AF-4680-901D-5D403714ADAD}"/>
            </c:ext>
          </c:extLst>
        </c:ser>
        <c:ser>
          <c:idx val="4"/>
          <c:order val="4"/>
          <c:tx>
            <c:strRef>
              <c:f>επάγγελμα!$B$11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4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επάγγελμα!$AY$1:$BK$2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Σεπτέμβρης</c:v>
                  </c:pt>
                  <c:pt idx="9">
                    <c:v>Οκτώβρης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επάγγελμα!$AY$11:$BK$11</c:f>
              <c:numCache>
                <c:formatCode>General</c:formatCode>
                <c:ptCount val="13"/>
                <c:pt idx="0">
                  <c:v>6590</c:v>
                </c:pt>
                <c:pt idx="1">
                  <c:v>6683</c:v>
                </c:pt>
                <c:pt idx="2">
                  <c:v>6741</c:v>
                </c:pt>
                <c:pt idx="3">
                  <c:v>6540</c:v>
                </c:pt>
                <c:pt idx="4">
                  <c:v>6205</c:v>
                </c:pt>
                <c:pt idx="5">
                  <c:v>4682</c:v>
                </c:pt>
                <c:pt idx="6">
                  <c:v>3201</c:v>
                </c:pt>
                <c:pt idx="7">
                  <c:v>2530</c:v>
                </c:pt>
                <c:pt idx="8">
                  <c:v>1859</c:v>
                </c:pt>
                <c:pt idx="9">
                  <c:v>1788</c:v>
                </c:pt>
                <c:pt idx="10">
                  <c:v>2638</c:v>
                </c:pt>
                <c:pt idx="11">
                  <c:v>2994</c:v>
                </c:pt>
                <c:pt idx="12">
                  <c:v>3136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3AF-4680-901D-5D403714A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9318144"/>
        <c:axId val="239320064"/>
      </c:lineChart>
      <c:catAx>
        <c:axId val="2393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39320064"/>
        <c:crosses val="autoZero"/>
        <c:auto val="1"/>
        <c:lblAlgn val="ctr"/>
        <c:lblOffset val="100"/>
        <c:noMultiLvlLbl val="0"/>
      </c:catAx>
      <c:valAx>
        <c:axId val="239320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39318144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5823896571"/>
          <c:y val="0.23034473631972474"/>
          <c:w val="0.25156988768630073"/>
          <c:h val="0.58975216333252456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9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 ανέργων </a:t>
            </a:r>
          </a:p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099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</a:p>
        </c:rich>
      </c:tx>
      <c:layout>
        <c:manualLayout>
          <c:xMode val="edge"/>
          <c:yMode val="edge"/>
          <c:x val="0.24324327833579107"/>
          <c:y val="3.6912608146203944E-2"/>
        </c:manualLayout>
      </c:layout>
      <c:overlay val="0"/>
      <c:spPr>
        <a:noFill/>
        <a:ln w="2538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'ηλικία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'ηλικία '!$AX$3:$BJ$3</c:f>
              <c:numCache>
                <c:formatCode>#,##0</c:formatCode>
                <c:ptCount val="13"/>
                <c:pt idx="0">
                  <c:v>2158</c:v>
                </c:pt>
                <c:pt idx="1">
                  <c:v>2179</c:v>
                </c:pt>
                <c:pt idx="2">
                  <c:v>2201</c:v>
                </c:pt>
                <c:pt idx="3">
                  <c:v>2048</c:v>
                </c:pt>
                <c:pt idx="4">
                  <c:v>1924</c:v>
                </c:pt>
                <c:pt idx="5">
                  <c:v>1423</c:v>
                </c:pt>
                <c:pt idx="6">
                  <c:v>758</c:v>
                </c:pt>
                <c:pt idx="7">
                  <c:v>614</c:v>
                </c:pt>
                <c:pt idx="8">
                  <c:v>517</c:v>
                </c:pt>
                <c:pt idx="9">
                  <c:v>520</c:v>
                </c:pt>
                <c:pt idx="10">
                  <c:v>813</c:v>
                </c:pt>
                <c:pt idx="11">
                  <c:v>798</c:v>
                </c:pt>
                <c:pt idx="12">
                  <c:v>835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1176-49A3-BC86-9C6725991827}"/>
            </c:ext>
          </c:extLst>
        </c:ser>
        <c:ser>
          <c:idx val="2"/>
          <c:order val="1"/>
          <c:tx>
            <c:strRef>
              <c:f>'ηλικία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'ηλικία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'ηλικία '!$AX$4:$BJ$4</c:f>
              <c:numCache>
                <c:formatCode>#,##0</c:formatCode>
                <c:ptCount val="13"/>
                <c:pt idx="0">
                  <c:v>4368</c:v>
                </c:pt>
                <c:pt idx="1">
                  <c:v>4455</c:v>
                </c:pt>
                <c:pt idx="2">
                  <c:v>4428</c:v>
                </c:pt>
                <c:pt idx="3">
                  <c:v>4229</c:v>
                </c:pt>
                <c:pt idx="4">
                  <c:v>4059</c:v>
                </c:pt>
                <c:pt idx="5">
                  <c:v>3311</c:v>
                </c:pt>
                <c:pt idx="6">
                  <c:v>2187</c:v>
                </c:pt>
                <c:pt idx="7">
                  <c:v>1947</c:v>
                </c:pt>
                <c:pt idx="8">
                  <c:v>1318</c:v>
                </c:pt>
                <c:pt idx="9">
                  <c:v>1321</c:v>
                </c:pt>
                <c:pt idx="10">
                  <c:v>1759</c:v>
                </c:pt>
                <c:pt idx="11">
                  <c:v>1799</c:v>
                </c:pt>
                <c:pt idx="12">
                  <c:v>1838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1176-49A3-BC86-9C6725991827}"/>
            </c:ext>
          </c:extLst>
        </c:ser>
        <c:ser>
          <c:idx val="3"/>
          <c:order val="2"/>
          <c:tx>
            <c:strRef>
              <c:f>'ηλικία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'ηλικία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'ηλικία '!$AX$5:$BJ$5</c:f>
              <c:numCache>
                <c:formatCode>#,##0</c:formatCode>
                <c:ptCount val="13"/>
                <c:pt idx="0">
                  <c:v>8779</c:v>
                </c:pt>
                <c:pt idx="1">
                  <c:v>8888</c:v>
                </c:pt>
                <c:pt idx="2">
                  <c:v>8911</c:v>
                </c:pt>
                <c:pt idx="3">
                  <c:v>8689</c:v>
                </c:pt>
                <c:pt idx="4">
                  <c:v>8421</c:v>
                </c:pt>
                <c:pt idx="5">
                  <c:v>7556</c:v>
                </c:pt>
                <c:pt idx="6">
                  <c:v>5579</c:v>
                </c:pt>
                <c:pt idx="7">
                  <c:v>5143</c:v>
                </c:pt>
                <c:pt idx="8">
                  <c:v>3414</c:v>
                </c:pt>
                <c:pt idx="9">
                  <c:v>3201</c:v>
                </c:pt>
                <c:pt idx="10">
                  <c:v>3894</c:v>
                </c:pt>
                <c:pt idx="11">
                  <c:v>4095</c:v>
                </c:pt>
                <c:pt idx="12">
                  <c:v>4201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1176-49A3-BC86-9C6725991827}"/>
            </c:ext>
          </c:extLst>
        </c:ser>
        <c:ser>
          <c:idx val="4"/>
          <c:order val="3"/>
          <c:tx>
            <c:strRef>
              <c:f>'ηλικία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'ηλικία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'ηλικία '!$AX$6:$BJ$6</c:f>
              <c:numCache>
                <c:formatCode>#,##0</c:formatCode>
                <c:ptCount val="13"/>
                <c:pt idx="0">
                  <c:v>6753</c:v>
                </c:pt>
                <c:pt idx="1">
                  <c:v>6749</c:v>
                </c:pt>
                <c:pt idx="2">
                  <c:v>6754</c:v>
                </c:pt>
                <c:pt idx="3">
                  <c:v>6601</c:v>
                </c:pt>
                <c:pt idx="4">
                  <c:v>6374</c:v>
                </c:pt>
                <c:pt idx="5">
                  <c:v>5485</c:v>
                </c:pt>
                <c:pt idx="6">
                  <c:v>4067</c:v>
                </c:pt>
                <c:pt idx="7">
                  <c:v>3456</c:v>
                </c:pt>
                <c:pt idx="8">
                  <c:v>2363</c:v>
                </c:pt>
                <c:pt idx="9">
                  <c:v>2316</c:v>
                </c:pt>
                <c:pt idx="10">
                  <c:v>3019</c:v>
                </c:pt>
                <c:pt idx="11">
                  <c:v>3339</c:v>
                </c:pt>
                <c:pt idx="12">
                  <c:v>3470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1176-49A3-BC86-9C6725991827}"/>
            </c:ext>
          </c:extLst>
        </c:ser>
        <c:ser>
          <c:idx val="0"/>
          <c:order val="4"/>
          <c:tx>
            <c:strRef>
              <c:f>'ηλικία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'ηλικία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'ηλικία '!$AX$7:$BJ$7</c:f>
              <c:numCache>
                <c:formatCode>#,##0</c:formatCode>
                <c:ptCount val="13"/>
                <c:pt idx="0">
                  <c:v>6567</c:v>
                </c:pt>
                <c:pt idx="1">
                  <c:v>6683</c:v>
                </c:pt>
                <c:pt idx="2">
                  <c:v>6714</c:v>
                </c:pt>
                <c:pt idx="3">
                  <c:v>6625</c:v>
                </c:pt>
                <c:pt idx="4">
                  <c:v>6469</c:v>
                </c:pt>
                <c:pt idx="5">
                  <c:v>5520</c:v>
                </c:pt>
                <c:pt idx="6">
                  <c:v>4047</c:v>
                </c:pt>
                <c:pt idx="7">
                  <c:v>3310</c:v>
                </c:pt>
                <c:pt idx="8">
                  <c:v>2367</c:v>
                </c:pt>
                <c:pt idx="9">
                  <c:v>2310</c:v>
                </c:pt>
                <c:pt idx="10">
                  <c:v>2992</c:v>
                </c:pt>
                <c:pt idx="11">
                  <c:v>3190</c:v>
                </c:pt>
                <c:pt idx="12">
                  <c:v>3386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1176-49A3-BC86-9C6725991827}"/>
            </c:ext>
          </c:extLst>
        </c:ser>
        <c:ser>
          <c:idx val="5"/>
          <c:order val="5"/>
          <c:tx>
            <c:strRef>
              <c:f>'ηλικία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'ηλικία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'ηλικία '!$AX$8:$BJ$8</c:f>
              <c:numCache>
                <c:formatCode>#,##0</c:formatCode>
                <c:ptCount val="13"/>
                <c:pt idx="0">
                  <c:v>3349</c:v>
                </c:pt>
                <c:pt idx="1">
                  <c:v>3441</c:v>
                </c:pt>
                <c:pt idx="2">
                  <c:v>3509</c:v>
                </c:pt>
                <c:pt idx="3">
                  <c:v>3561</c:v>
                </c:pt>
                <c:pt idx="4">
                  <c:v>3573</c:v>
                </c:pt>
                <c:pt idx="5">
                  <c:v>3043</c:v>
                </c:pt>
                <c:pt idx="6">
                  <c:v>2112</c:v>
                </c:pt>
                <c:pt idx="7">
                  <c:v>1680</c:v>
                </c:pt>
                <c:pt idx="8">
                  <c:v>1277</c:v>
                </c:pt>
                <c:pt idx="9">
                  <c:v>1250</c:v>
                </c:pt>
                <c:pt idx="10">
                  <c:v>1428</c:v>
                </c:pt>
                <c:pt idx="11">
                  <c:v>1495</c:v>
                </c:pt>
                <c:pt idx="12">
                  <c:v>1614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1176-49A3-BC86-9C67259918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734784"/>
        <c:axId val="263736320"/>
      </c:lineChart>
      <c:catAx>
        <c:axId val="26373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3736320"/>
        <c:crosses val="autoZero"/>
        <c:auto val="1"/>
        <c:lblAlgn val="ctr"/>
        <c:lblOffset val="100"/>
        <c:noMultiLvlLbl val="0"/>
      </c:catAx>
      <c:valAx>
        <c:axId val="26373632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63734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10494050427"/>
          <c:y val="0.18831564857811578"/>
          <c:w val="0.14280941914062861"/>
          <c:h val="0.4433096290314138"/>
        </c:manualLayout>
      </c:layout>
      <c:overlay val="0"/>
      <c:txPr>
        <a:bodyPr/>
        <a:lstStyle/>
        <a:p>
          <a:pPr>
            <a:defRPr lang="el-GR"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199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199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13615017204121568"/>
          <c:y val="3.5842277640367001E-2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'διάρκεια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'διάρκεια '!$AX$9:$BJ$9</c:f>
              <c:numCache>
                <c:formatCode>General</c:formatCode>
                <c:ptCount val="13"/>
                <c:pt idx="0">
                  <c:v>19805</c:v>
                </c:pt>
                <c:pt idx="1">
                  <c:v>20245</c:v>
                </c:pt>
                <c:pt idx="2">
                  <c:v>20856</c:v>
                </c:pt>
                <c:pt idx="3">
                  <c:v>21142</c:v>
                </c:pt>
                <c:pt idx="4">
                  <c:v>22230</c:v>
                </c:pt>
                <c:pt idx="5">
                  <c:v>17004</c:v>
                </c:pt>
                <c:pt idx="6">
                  <c:v>9846</c:v>
                </c:pt>
                <c:pt idx="7">
                  <c:v>6381</c:v>
                </c:pt>
                <c:pt idx="8">
                  <c:v>4918</c:v>
                </c:pt>
                <c:pt idx="9">
                  <c:v>4066</c:v>
                </c:pt>
                <c:pt idx="10">
                  <c:v>3609</c:v>
                </c:pt>
                <c:pt idx="11">
                  <c:v>3302</c:v>
                </c:pt>
                <c:pt idx="12">
                  <c:v>3253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AAD1-4B81-8699-274E7CE67B54}"/>
            </c:ext>
          </c:extLst>
        </c:ser>
        <c:ser>
          <c:idx val="1"/>
          <c:order val="1"/>
          <c:tx>
            <c:strRef>
              <c:f>'διάρκεια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'διάρκεια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'διάρκεια '!$AX$8:$BJ$8</c:f>
              <c:numCache>
                <c:formatCode>#,##0</c:formatCode>
                <c:ptCount val="13"/>
                <c:pt idx="0">
                  <c:v>12343</c:v>
                </c:pt>
                <c:pt idx="1">
                  <c:v>13179</c:v>
                </c:pt>
                <c:pt idx="2">
                  <c:v>13797</c:v>
                </c:pt>
                <c:pt idx="3">
                  <c:v>14073</c:v>
                </c:pt>
                <c:pt idx="4">
                  <c:v>14276</c:v>
                </c:pt>
                <c:pt idx="5">
                  <c:v>11503</c:v>
                </c:pt>
                <c:pt idx="6">
                  <c:v>7414</c:v>
                </c:pt>
                <c:pt idx="7">
                  <c:v>4358</c:v>
                </c:pt>
                <c:pt idx="8">
                  <c:v>3441</c:v>
                </c:pt>
                <c:pt idx="9">
                  <c:v>2787</c:v>
                </c:pt>
                <c:pt idx="10">
                  <c:v>2418</c:v>
                </c:pt>
                <c:pt idx="11">
                  <c:v>2120</c:v>
                </c:pt>
                <c:pt idx="12">
                  <c:v>2001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AAD1-4B81-8699-274E7CE67B54}"/>
            </c:ext>
          </c:extLst>
        </c:ser>
        <c:ser>
          <c:idx val="2"/>
          <c:order val="2"/>
          <c:tx>
            <c:strRef>
              <c:f>'διάρκεια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'διάρκεια '!$AX$1:$BJ$2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'διάρκεια '!$AX$5:$BJ$5</c:f>
              <c:numCache>
                <c:formatCode>#,##0</c:formatCode>
                <c:ptCount val="13"/>
                <c:pt idx="0">
                  <c:v>7821</c:v>
                </c:pt>
                <c:pt idx="1">
                  <c:v>6558</c:v>
                </c:pt>
                <c:pt idx="2">
                  <c:v>6071</c:v>
                </c:pt>
                <c:pt idx="3">
                  <c:v>5179</c:v>
                </c:pt>
                <c:pt idx="4">
                  <c:v>4591</c:v>
                </c:pt>
                <c:pt idx="5">
                  <c:v>6477</c:v>
                </c:pt>
                <c:pt idx="6">
                  <c:v>7430</c:v>
                </c:pt>
                <c:pt idx="7">
                  <c:v>8256</c:v>
                </c:pt>
                <c:pt idx="8">
                  <c:v>4068</c:v>
                </c:pt>
                <c:pt idx="9">
                  <c:v>4863</c:v>
                </c:pt>
                <c:pt idx="10">
                  <c:v>8622</c:v>
                </c:pt>
                <c:pt idx="11">
                  <c:v>9690</c:v>
                </c:pt>
                <c:pt idx="12">
                  <c:v>9569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AAD1-4B81-8699-274E7CE67B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3792512"/>
        <c:axId val="263794048"/>
      </c:lineChart>
      <c:catAx>
        <c:axId val="263792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63794048"/>
        <c:crosses val="autoZero"/>
        <c:auto val="1"/>
        <c:lblAlgn val="ctr"/>
        <c:lblOffset val="100"/>
        <c:noMultiLvlLbl val="0"/>
      </c:catAx>
      <c:valAx>
        <c:axId val="26379404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63792512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25831223401"/>
          <c:y val="0.30304779625889705"/>
          <c:w val="0.22872355619858475"/>
          <c:h val="0.2096569773158759"/>
        </c:manualLayout>
      </c:layout>
      <c:overlay val="0"/>
      <c:txPr>
        <a:bodyPr/>
        <a:lstStyle/>
        <a:p>
          <a:pPr>
            <a:defRPr lang="el-GR" sz="899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198"/>
            </a:pPr>
            <a:r>
              <a:rPr lang="el-GR" sz="1199"/>
              <a:t>Διακύμανση του αριθμού των  ανέργων</a:t>
            </a:r>
            <a:r>
              <a:rPr lang="en-US" sz="1199"/>
              <a:t> </a:t>
            </a:r>
            <a:r>
              <a:rPr lang="el-GR" sz="1199"/>
              <a:t> κατά </a:t>
            </a:r>
            <a:r>
              <a:rPr lang="el-GR" sz="1199" baseline="0"/>
              <a:t> εθνότητα</a:t>
            </a:r>
            <a:r>
              <a:rPr lang="en-US" sz="1199"/>
              <a:t> </a:t>
            </a:r>
            <a:r>
              <a:rPr lang="el-GR" sz="1199"/>
              <a:t> </a:t>
            </a:r>
          </a:p>
          <a:p>
            <a:pPr>
              <a:defRPr lang="el-GR" sz="1198"/>
            </a:pPr>
            <a:r>
              <a:rPr lang="el-GR" sz="1199"/>
              <a:t>τους τελευταίους 12 μήνες </a:t>
            </a:r>
          </a:p>
        </c:rich>
      </c:tx>
      <c:layout>
        <c:manualLayout>
          <c:xMode val="edge"/>
          <c:yMode val="edge"/>
          <c:x val="0.25091622381124623"/>
          <c:y val="3.7453403767567034E-2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'υπηκοότητα '!$BV$1:$CH$2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'υπηκοότητα '!$BV$4:$CH$4</c:f>
              <c:numCache>
                <c:formatCode>General</c:formatCode>
                <c:ptCount val="13"/>
                <c:pt idx="0">
                  <c:v>6853</c:v>
                </c:pt>
                <c:pt idx="1">
                  <c:v>6975</c:v>
                </c:pt>
                <c:pt idx="2">
                  <c:v>6994</c:v>
                </c:pt>
                <c:pt idx="3">
                  <c:v>6749</c:v>
                </c:pt>
                <c:pt idx="4">
                  <c:v>6384</c:v>
                </c:pt>
                <c:pt idx="5">
                  <c:v>4717</c:v>
                </c:pt>
                <c:pt idx="6">
                  <c:v>2775</c:v>
                </c:pt>
                <c:pt idx="7">
                  <c:v>2174</c:v>
                </c:pt>
                <c:pt idx="8">
                  <c:v>1523</c:v>
                </c:pt>
                <c:pt idx="9">
                  <c:v>1587</c:v>
                </c:pt>
                <c:pt idx="10">
                  <c:v>2931</c:v>
                </c:pt>
                <c:pt idx="11">
                  <c:v>3372</c:v>
                </c:pt>
                <c:pt idx="12">
                  <c:v>3496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6EA-4B39-AB12-328FE45DD0CC}"/>
            </c:ext>
          </c:extLst>
        </c:ser>
        <c:ser>
          <c:idx val="1"/>
          <c:order val="1"/>
          <c:tx>
            <c:strRef>
              <c:f>'υπηκοότητα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'υπηκοότητα '!$BV$1:$CH$2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'υπηκοότητα '!$BV$8:$CH$8</c:f>
              <c:numCache>
                <c:formatCode>General</c:formatCode>
                <c:ptCount val="13"/>
                <c:pt idx="0">
                  <c:v>2137</c:v>
                </c:pt>
                <c:pt idx="1">
                  <c:v>2111</c:v>
                </c:pt>
                <c:pt idx="2">
                  <c:v>2087</c:v>
                </c:pt>
                <c:pt idx="3">
                  <c:v>2041</c:v>
                </c:pt>
                <c:pt idx="4">
                  <c:v>1964</c:v>
                </c:pt>
                <c:pt idx="5">
                  <c:v>1518</c:v>
                </c:pt>
                <c:pt idx="6">
                  <c:v>870</c:v>
                </c:pt>
                <c:pt idx="7">
                  <c:v>610</c:v>
                </c:pt>
                <c:pt idx="8">
                  <c:v>412</c:v>
                </c:pt>
                <c:pt idx="9">
                  <c:v>397</c:v>
                </c:pt>
                <c:pt idx="10">
                  <c:v>618</c:v>
                </c:pt>
                <c:pt idx="11">
                  <c:v>753</c:v>
                </c:pt>
                <c:pt idx="12">
                  <c:v>802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6EA-4B39-AB12-328FE45DD0CC}"/>
            </c:ext>
          </c:extLst>
        </c:ser>
        <c:ser>
          <c:idx val="2"/>
          <c:order val="2"/>
          <c:tx>
            <c:strRef>
              <c:f>'υπηκοότητα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32">
              <a:prstDash val="sysDash"/>
            </a:ln>
          </c:spPr>
          <c:marker>
            <c:symbol val="none"/>
          </c:marker>
          <c:cat>
            <c:multiLvlStrRef>
              <c:f>'υπηκοότητα '!$BV$1:$CH$2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'υπηκοότητα '!$BV$10:$CH$10</c:f>
              <c:numCache>
                <c:formatCode>General</c:formatCode>
                <c:ptCount val="13"/>
                <c:pt idx="0">
                  <c:v>711</c:v>
                </c:pt>
                <c:pt idx="1">
                  <c:v>740</c:v>
                </c:pt>
                <c:pt idx="2">
                  <c:v>768</c:v>
                </c:pt>
                <c:pt idx="3">
                  <c:v>781</c:v>
                </c:pt>
                <c:pt idx="4">
                  <c:v>796</c:v>
                </c:pt>
                <c:pt idx="5">
                  <c:v>661</c:v>
                </c:pt>
                <c:pt idx="6">
                  <c:v>508</c:v>
                </c:pt>
                <c:pt idx="7">
                  <c:v>484</c:v>
                </c:pt>
                <c:pt idx="8">
                  <c:v>430</c:v>
                </c:pt>
                <c:pt idx="9">
                  <c:v>394</c:v>
                </c:pt>
                <c:pt idx="10">
                  <c:v>413</c:v>
                </c:pt>
                <c:pt idx="11">
                  <c:v>437</c:v>
                </c:pt>
                <c:pt idx="12">
                  <c:v>459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6EA-4B39-AB12-328FE45DD0CC}"/>
            </c:ext>
          </c:extLst>
        </c:ser>
        <c:ser>
          <c:idx val="3"/>
          <c:order val="3"/>
          <c:tx>
            <c:strRef>
              <c:f>'υπηκοότητα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'υπηκοότητα '!$BV$1:$CH$2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'υπηκοότητα '!$BV$3:$CH$3</c:f>
              <c:numCache>
                <c:formatCode>General</c:formatCode>
                <c:ptCount val="13"/>
                <c:pt idx="0">
                  <c:v>21184</c:v>
                </c:pt>
                <c:pt idx="1">
                  <c:v>21440</c:v>
                </c:pt>
                <c:pt idx="2">
                  <c:v>21516</c:v>
                </c:pt>
                <c:pt idx="3">
                  <c:v>21020</c:v>
                </c:pt>
                <c:pt idx="4">
                  <c:v>20586</c:v>
                </c:pt>
                <c:pt idx="5">
                  <c:v>18537</c:v>
                </c:pt>
                <c:pt idx="6">
                  <c:v>13959</c:v>
                </c:pt>
                <c:pt idx="7">
                  <c:v>12294</c:v>
                </c:pt>
                <c:pt idx="8">
                  <c:v>8336</c:v>
                </c:pt>
                <c:pt idx="9">
                  <c:v>7972</c:v>
                </c:pt>
                <c:pt idx="10">
                  <c:v>9235</c:v>
                </c:pt>
                <c:pt idx="11">
                  <c:v>9351</c:v>
                </c:pt>
                <c:pt idx="12">
                  <c:v>9712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6EA-4B39-AB12-328FE45DD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973760"/>
        <c:axId val="272073856"/>
      </c:lineChart>
      <c:catAx>
        <c:axId val="27197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2073856"/>
        <c:crosses val="autoZero"/>
        <c:auto val="1"/>
        <c:lblAlgn val="ctr"/>
        <c:lblOffset val="100"/>
        <c:noMultiLvlLbl val="0"/>
      </c:catAx>
      <c:valAx>
        <c:axId val="272073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1973760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7948842083785466"/>
          <c:y val="0.22270241536263663"/>
          <c:w val="0.27419789840757536"/>
          <c:h val="0.55862653244293825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199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199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56887677028"/>
          <c:y val="3.2525934258217724E-2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μόρφωση!$A$8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μόρφωση!$AX$1:$BJ$2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μόρφωση!$AX$8:$BJ$8</c:f>
              <c:numCache>
                <c:formatCode>#,##0</c:formatCode>
                <c:ptCount val="13"/>
                <c:pt idx="0">
                  <c:v>14610</c:v>
                </c:pt>
                <c:pt idx="1">
                  <c:v>14765</c:v>
                </c:pt>
                <c:pt idx="2">
                  <c:v>14863</c:v>
                </c:pt>
                <c:pt idx="3">
                  <c:v>14453</c:v>
                </c:pt>
                <c:pt idx="4">
                  <c:v>13995</c:v>
                </c:pt>
                <c:pt idx="5">
                  <c:v>11608</c:v>
                </c:pt>
                <c:pt idx="6">
                  <c:v>8069</c:v>
                </c:pt>
                <c:pt idx="7">
                  <c:v>6705</c:v>
                </c:pt>
                <c:pt idx="8">
                  <c:v>5007</c:v>
                </c:pt>
                <c:pt idx="9">
                  <c:v>5008</c:v>
                </c:pt>
                <c:pt idx="10">
                  <c:v>6488</c:v>
                </c:pt>
                <c:pt idx="11">
                  <c:v>6875</c:v>
                </c:pt>
                <c:pt idx="12">
                  <c:v>7122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4D2-4412-8921-8AD22B8980F6}"/>
            </c:ext>
          </c:extLst>
        </c:ser>
        <c:ser>
          <c:idx val="2"/>
          <c:order val="1"/>
          <c:tx>
            <c:strRef>
              <c:f>μόρφωση!$A$9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μόρφωση!$AX$1:$BJ$2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μόρφωση!$AX$9:$BJ$9</c:f>
              <c:numCache>
                <c:formatCode>#,##0</c:formatCode>
                <c:ptCount val="13"/>
                <c:pt idx="0">
                  <c:v>10024</c:v>
                </c:pt>
                <c:pt idx="1">
                  <c:v>10128</c:v>
                </c:pt>
                <c:pt idx="2">
                  <c:v>10112</c:v>
                </c:pt>
                <c:pt idx="3">
                  <c:v>9974</c:v>
                </c:pt>
                <c:pt idx="4">
                  <c:v>9880</c:v>
                </c:pt>
                <c:pt idx="5">
                  <c:v>9537</c:v>
                </c:pt>
                <c:pt idx="6">
                  <c:v>7544</c:v>
                </c:pt>
                <c:pt idx="7">
                  <c:v>6989</c:v>
                </c:pt>
                <c:pt idx="8">
                  <c:v>4374</c:v>
                </c:pt>
                <c:pt idx="9">
                  <c:v>4040</c:v>
                </c:pt>
                <c:pt idx="10">
                  <c:v>4354</c:v>
                </c:pt>
                <c:pt idx="11" formatCode="General">
                  <c:v>4212</c:v>
                </c:pt>
                <c:pt idx="12" formatCode="General">
                  <c:v>4347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4D2-4412-8921-8AD22B8980F6}"/>
            </c:ext>
          </c:extLst>
        </c:ser>
        <c:ser>
          <c:idx val="0"/>
          <c:order val="2"/>
          <c:tx>
            <c:strRef>
              <c:f>μόρφωση!$A$5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μόρφωση!$AX$1:$BJ$2</c:f>
              <c:multiLvlStrCache>
                <c:ptCount val="13"/>
                <c:lvl>
                  <c:pt idx="0">
                    <c:v>Ιανουάριος</c:v>
                  </c:pt>
                  <c:pt idx="1">
                    <c:v>Φεβρουάριος</c:v>
                  </c:pt>
                  <c:pt idx="2">
                    <c:v>Μάρτιος</c:v>
                  </c:pt>
                  <c:pt idx="3">
                    <c:v>Απρίλιος</c:v>
                  </c:pt>
                  <c:pt idx="4">
                    <c:v>Μάιος</c:v>
                  </c:pt>
                  <c:pt idx="5">
                    <c:v>Ιούνιος</c:v>
                  </c:pt>
                  <c:pt idx="6">
                    <c:v>Ιούλιος</c:v>
                  </c:pt>
                  <c:pt idx="7">
                    <c:v>Αύγουστος</c:v>
                  </c:pt>
                  <c:pt idx="8">
                    <c:v>Σεπτέμβριος</c:v>
                  </c:pt>
                  <c:pt idx="9">
                    <c:v>Οκτώβριος</c:v>
                  </c:pt>
                  <c:pt idx="10">
                    <c:v>Νοέμβριος</c:v>
                  </c:pt>
                  <c:pt idx="11">
                    <c:v>Δεκέμβριος</c:v>
                  </c:pt>
                  <c:pt idx="12">
                    <c:v>Ιανουάριος</c:v>
                  </c:pt>
                </c:lvl>
                <c:lvl>
                  <c:pt idx="0">
                    <c:v>2021</c:v>
                  </c:pt>
                  <c:pt idx="12">
                    <c:v>2022</c:v>
                  </c:pt>
                </c:lvl>
              </c:multiLvlStrCache>
            </c:multiLvlStrRef>
          </c:cat>
          <c:val>
            <c:numRef>
              <c:f>μόρφωση!$AX$4:$BJ$4</c:f>
              <c:numCache>
                <c:formatCode>#,##0</c:formatCode>
                <c:ptCount val="13"/>
                <c:pt idx="0">
                  <c:v>7466</c:v>
                </c:pt>
                <c:pt idx="1">
                  <c:v>7650</c:v>
                </c:pt>
                <c:pt idx="2">
                  <c:v>7709</c:v>
                </c:pt>
                <c:pt idx="3">
                  <c:v>7528</c:v>
                </c:pt>
                <c:pt idx="4">
                  <c:v>7186</c:v>
                </c:pt>
                <c:pt idx="5">
                  <c:v>5361</c:v>
                </c:pt>
                <c:pt idx="6">
                  <c:v>3233</c:v>
                </c:pt>
                <c:pt idx="7">
                  <c:v>2473</c:v>
                </c:pt>
                <c:pt idx="8">
                  <c:v>1868</c:v>
                </c:pt>
                <c:pt idx="9">
                  <c:v>1830</c:v>
                </c:pt>
                <c:pt idx="10">
                  <c:v>3010</c:v>
                </c:pt>
                <c:pt idx="11">
                  <c:v>3577</c:v>
                </c:pt>
                <c:pt idx="12">
                  <c:v>3825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4D2-4412-8921-8AD22B898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85984"/>
        <c:axId val="271787520"/>
      </c:lineChart>
      <c:catAx>
        <c:axId val="27178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71787520"/>
        <c:crosses val="autoZero"/>
        <c:auto val="1"/>
        <c:lblAlgn val="ctr"/>
        <c:lblOffset val="100"/>
        <c:noMultiLvlLbl val="0"/>
      </c:catAx>
      <c:valAx>
        <c:axId val="27178752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7178598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55628205482"/>
          <c:y val="0.21780101016784667"/>
          <c:w val="0.24643220834144852"/>
          <c:h val="0.3956173125418146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28CA-BCBF-4827-81D5-DA313261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2</cp:revision>
  <cp:lastPrinted>2021-08-05T07:56:00Z</cp:lastPrinted>
  <dcterms:created xsi:type="dcterms:W3CDTF">2022-04-18T10:29:00Z</dcterms:created>
  <dcterms:modified xsi:type="dcterms:W3CDTF">2022-04-18T10:29:00Z</dcterms:modified>
</cp:coreProperties>
</file>